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58E7C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20" w:beforeAutospacing="0" w:after="0" w:afterAutospacing="0" w:line="413" w:lineRule="atLeast"/>
        <w:ind w:left="0" w:right="0" w:firstLine="0"/>
        <w:jc w:val="center"/>
        <w:rPr>
          <w:rFonts w:hint="default" w:ascii="仿宋_GB2312" w:hAnsi="宋体" w:eastAsia="仿宋_GB2312" w:cs="仿宋_GB2312"/>
          <w:i w:val="0"/>
          <w:iCs w:val="0"/>
          <w:caps w:val="0"/>
          <w:color w:val="000000"/>
          <w:spacing w:val="30"/>
          <w:sz w:val="21"/>
          <w:szCs w:val="21"/>
          <w:shd w:val="clear" w:color="auto" w:fill="auto"/>
        </w:rPr>
      </w:pPr>
      <w:r>
        <w:rPr>
          <w:rFonts w:ascii="仿宋_GB2312" w:hAnsi="宋体" w:eastAsia="仿宋_GB2312" w:cs="仿宋_GB2312"/>
          <w:i w:val="0"/>
          <w:iCs w:val="0"/>
          <w:caps w:val="0"/>
          <w:color w:val="000000"/>
          <w:spacing w:val="30"/>
          <w:sz w:val="21"/>
          <w:szCs w:val="21"/>
          <w:shd w:val="clear" w:color="auto" w:fill="auto"/>
        </w:rPr>
        <w:t>为贯彻安全发展新理念，推动企业落实主体责任，加强企业安</w:t>
      </w:r>
      <w:bookmarkStart w:id="0" w:name="_GoBack"/>
      <w:bookmarkEnd w:id="0"/>
      <w:r>
        <w:rPr>
          <w:rFonts w:ascii="仿宋_GB2312" w:hAnsi="宋体" w:eastAsia="仿宋_GB2312" w:cs="仿宋_GB2312"/>
          <w:i w:val="0"/>
          <w:iCs w:val="0"/>
          <w:caps w:val="0"/>
          <w:color w:val="000000"/>
          <w:spacing w:val="30"/>
          <w:sz w:val="21"/>
          <w:szCs w:val="21"/>
          <w:shd w:val="clear" w:color="auto" w:fill="auto"/>
        </w:rPr>
        <w:t>全生产投入，根据《中华人民共和国安全生产法》等法律法规，财政部、应急部印发了《企业安全生产费用提取和使用管理办法》（财资〔</w:t>
      </w:r>
      <w:r>
        <w:rPr>
          <w:rFonts w:hint="default" w:ascii="仿宋_GB2312" w:hAnsi="宋体" w:eastAsia="仿宋_GB2312" w:cs="仿宋_GB2312"/>
          <w:i w:val="0"/>
          <w:iCs w:val="0"/>
          <w:caps w:val="0"/>
          <w:color w:val="000000"/>
          <w:spacing w:val="30"/>
          <w:sz w:val="21"/>
          <w:szCs w:val="21"/>
          <w:bdr w:val="none" w:color="auto" w:sz="0" w:space="0"/>
          <w:shd w:val="clear" w:color="auto" w:fill="auto"/>
        </w:rPr>
        <w:t>2022</w:t>
      </w:r>
      <w:r>
        <w:rPr>
          <w:rFonts w:hint="default" w:ascii="仿宋_GB2312" w:hAnsi="宋体" w:eastAsia="仿宋_GB2312" w:cs="仿宋_GB2312"/>
          <w:i w:val="0"/>
          <w:iCs w:val="0"/>
          <w:caps w:val="0"/>
          <w:color w:val="000000"/>
          <w:spacing w:val="30"/>
          <w:sz w:val="21"/>
          <w:szCs w:val="21"/>
          <w:shd w:val="clear" w:color="auto" w:fill="auto"/>
        </w:rPr>
        <w:t>〕</w:t>
      </w:r>
      <w:r>
        <w:rPr>
          <w:rFonts w:hint="default" w:ascii="仿宋_GB2312" w:hAnsi="宋体" w:eastAsia="仿宋_GB2312" w:cs="仿宋_GB2312"/>
          <w:i w:val="0"/>
          <w:iCs w:val="0"/>
          <w:caps w:val="0"/>
          <w:color w:val="000000"/>
          <w:spacing w:val="30"/>
          <w:sz w:val="21"/>
          <w:szCs w:val="21"/>
          <w:bdr w:val="none" w:color="auto" w:sz="0" w:space="0"/>
          <w:shd w:val="clear" w:color="auto" w:fill="auto"/>
        </w:rPr>
        <w:t>136</w:t>
      </w:r>
      <w:r>
        <w:rPr>
          <w:rFonts w:hint="default" w:ascii="仿宋_GB2312" w:hAnsi="宋体" w:eastAsia="仿宋_GB2312" w:cs="仿宋_GB2312"/>
          <w:i w:val="0"/>
          <w:iCs w:val="0"/>
          <w:caps w:val="0"/>
          <w:color w:val="000000"/>
          <w:spacing w:val="30"/>
          <w:sz w:val="21"/>
          <w:szCs w:val="21"/>
          <w:shd w:val="clear" w:color="auto" w:fill="auto"/>
        </w:rPr>
        <w:t>号）（以下简称《办法》）。为便于相关行业企业和有关部门准确理解和把握《办法》，更好地发挥《办法》促进企业建立安全生产投入长效机制作用，现对《办法》条款进行解释说明。</w:t>
      </w:r>
    </w:p>
    <w:p w14:paraId="4C3642F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spacing w:before="120" w:beforeAutospacing="0" w:after="0" w:afterAutospacing="0" w:line="413" w:lineRule="atLeast"/>
        <w:ind w:left="0" w:right="0" w:firstLine="0"/>
        <w:jc w:val="center"/>
        <w:rPr>
          <w:rFonts w:ascii="Microsoft YaHei UI" w:hAnsi="Microsoft YaHei UI" w:eastAsia="Microsoft YaHei UI" w:cs="Microsoft YaHei UI"/>
          <w:i w:val="0"/>
          <w:iCs w:val="0"/>
          <w:caps w:val="0"/>
          <w:spacing w:val="30"/>
          <w:sz w:val="24"/>
          <w:szCs w:val="24"/>
          <w:shd w:val="clear" w:color="auto" w:fill="auto"/>
        </w:rPr>
      </w:pPr>
      <w:r>
        <w:rPr>
          <w:rFonts w:ascii="黑体" w:hAnsi="宋体" w:eastAsia="黑体" w:cs="黑体"/>
          <w:b w:val="0"/>
          <w:bCs w:val="0"/>
          <w:i w:val="0"/>
          <w:iCs w:val="0"/>
          <w:caps w:val="0"/>
          <w:spacing w:val="30"/>
          <w:sz w:val="24"/>
          <w:szCs w:val="24"/>
          <w:bdr w:val="none" w:color="auto" w:sz="0" w:space="0"/>
          <w:shd w:val="clear" w:color="auto" w:fill="auto"/>
        </w:rPr>
        <w:t>第六节</w:t>
      </w:r>
      <w:r>
        <w:rPr>
          <w:rFonts w:hint="eastAsia" w:ascii="黑体" w:hAnsi="宋体" w:eastAsia="黑体" w:cs="黑体"/>
          <w:b w:val="0"/>
          <w:bCs w:val="0"/>
          <w:i w:val="0"/>
          <w:iCs w:val="0"/>
          <w:caps w:val="0"/>
          <w:spacing w:val="30"/>
          <w:sz w:val="24"/>
          <w:szCs w:val="24"/>
          <w:bdr w:val="none" w:color="auto" w:sz="0" w:space="0"/>
          <w:shd w:val="clear" w:color="auto" w:fill="auto"/>
        </w:rPr>
        <w:t>  交通运输企业</w:t>
      </w:r>
    </w:p>
    <w:p w14:paraId="7C72D52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eastAsia" w:ascii="黑体" w:hAnsi="宋体" w:eastAsia="黑体" w:cs="黑体"/>
          <w:i w:val="0"/>
          <w:iCs w:val="0"/>
          <w:caps w:val="0"/>
          <w:spacing w:val="30"/>
          <w:sz w:val="32"/>
          <w:szCs w:val="32"/>
          <w:bdr w:val="none" w:color="auto" w:sz="0" w:space="0"/>
          <w:shd w:val="clear" w:color="auto" w:fill="auto"/>
        </w:rPr>
        <w:t>第二十三条</w:t>
      </w:r>
      <w:r>
        <w:rPr>
          <w:rFonts w:ascii="仿宋_GB2312" w:hAnsi="Microsoft YaHei UI" w:eastAsia="仿宋_GB2312" w:cs="仿宋_GB2312"/>
          <w:i w:val="0"/>
          <w:iCs w:val="0"/>
          <w:caps w:val="0"/>
          <w:spacing w:val="30"/>
          <w:sz w:val="32"/>
          <w:szCs w:val="32"/>
          <w:bdr w:val="none" w:color="auto" w:sz="0" w:space="0"/>
          <w:shd w:val="clear" w:color="auto" w:fill="auto"/>
        </w:rPr>
        <w:t> </w:t>
      </w: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交通运输包括道路运输、铁路运输、城市轨道交通、水路运输、管道运输。</w:t>
      </w:r>
    </w:p>
    <w:p w14:paraId="3F0ADD0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道路运输是指《中华人民共和国道路运输条例》规定的道路旅客运输和道路货物运输；铁路运输是指《中华人民共和国铁路法》规定的铁路旅客运输和货物运输；城市轨道交通是指依规定批准建设的，采用专用轨道导向运行的城市公共客运交通系统，包括地铁、轻轨、单轨、有轨电车、磁浮、自动导向轨道、市域快速轨道系统；水路运输是指以运输船舶为工具的经营性旅客和货物运输及港口装卸、过驳、仓储；管道运输是指以管道为工具的液体和气体物资运输。</w:t>
      </w:r>
    </w:p>
    <w:p w14:paraId="795C7D0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default" w:ascii="仿宋_GB2312" w:hAnsi="Microsoft YaHei UI" w:eastAsia="仿宋_GB2312" w:cs="仿宋_GB2312"/>
          <w:i w:val="0"/>
          <w:iCs w:val="0"/>
          <w:caps w:val="0"/>
          <w:spacing w:val="30"/>
          <w:sz w:val="32"/>
          <w:szCs w:val="32"/>
          <w:bdr w:val="none" w:color="auto" w:sz="0" w:space="0"/>
          <w:shd w:val="clear" w:color="auto" w:fill="auto"/>
        </w:rPr>
        <w:t>【解读】</w:t>
      </w:r>
    </w:p>
    <w:p w14:paraId="34BB971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default" w:ascii="仿宋_GB2312" w:hAnsi="Microsoft YaHei UI" w:eastAsia="仿宋_GB2312" w:cs="仿宋_GB2312"/>
          <w:i w:val="0"/>
          <w:iCs w:val="0"/>
          <w:caps w:val="0"/>
          <w:spacing w:val="30"/>
          <w:sz w:val="32"/>
          <w:szCs w:val="32"/>
          <w:bdr w:val="none" w:color="auto" w:sz="0" w:space="0"/>
          <w:shd w:val="clear" w:color="auto" w:fill="auto"/>
        </w:rPr>
        <w:t>本条是适用办法的交通运输行业的属性内涵。</w:t>
      </w:r>
    </w:p>
    <w:p w14:paraId="04F96AC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default" w:ascii="仿宋_GB2312" w:hAnsi="Microsoft YaHei UI" w:eastAsia="仿宋_GB2312" w:cs="仿宋_GB2312"/>
          <w:i w:val="0"/>
          <w:iCs w:val="0"/>
          <w:caps w:val="0"/>
          <w:spacing w:val="30"/>
          <w:sz w:val="32"/>
          <w:szCs w:val="32"/>
          <w:bdr w:val="none" w:color="auto" w:sz="0" w:space="0"/>
          <w:shd w:val="clear" w:color="auto" w:fill="auto"/>
        </w:rPr>
        <w:t>近年来，我国城市轨道交通取得快速发展，逐步成为城市公共交通的重要组成部分，城市轨道交通作为重要的民生工程，运营安全事关人民群众切身利益。未来几年，新开通运营城市数量不断增多，已开通运营城市网络规模持续扩大，新增运营里程迅速增加，对加强城市轨道交通运营安全提出了新的更高要求，考虑到城市轨道交通是提供旅客运输服务的大容量城市交通系统，其安全状况事关广大人民群众的生命安全和公共安全，需要加大安全生产投入予以保证。《交通运输部关于加强城市轨道交通运营安全管理的意见》（交运发〔2014〕201号）要求“城市轨道交通运营单位要保障运营安全所必需的资金投入，确保各项工作的顺利开展，并建立安全生产投入长效机制，保证安全生产经费的足额投入和规范使用”。所以，本次修订调整了交通运输范围，在交通运输领域增加城市轨道交通。此外，根据《中华人民共和国道路运输条例》第二章“道路运输经营”条件规定、第八十二条“出租车客运和城市公共汽车客运的管理办法由国务院另行规定”规定，无自有运输工具的平台类物流企业、出租车客运和城市公共汽车客运不纳入道路运输企业范围。</w:t>
      </w:r>
    </w:p>
    <w:p w14:paraId="4B6038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eastAsia" w:ascii="黑体" w:hAnsi="宋体" w:eastAsia="黑体" w:cs="黑体"/>
          <w:i w:val="0"/>
          <w:iCs w:val="0"/>
          <w:caps w:val="0"/>
          <w:spacing w:val="30"/>
          <w:sz w:val="32"/>
          <w:szCs w:val="32"/>
          <w:bdr w:val="none" w:color="auto" w:sz="0" w:space="0"/>
          <w:shd w:val="clear" w:color="auto" w:fill="auto"/>
        </w:rPr>
        <w:t>第二十四条</w:t>
      </w:r>
      <w:r>
        <w:rPr>
          <w:rFonts w:hint="default" w:ascii="仿宋_GB2312" w:hAnsi="Microsoft YaHei UI" w:eastAsia="仿宋_GB2312" w:cs="仿宋_GB2312"/>
          <w:i w:val="0"/>
          <w:iCs w:val="0"/>
          <w:caps w:val="0"/>
          <w:spacing w:val="30"/>
          <w:sz w:val="32"/>
          <w:szCs w:val="32"/>
          <w:bdr w:val="none" w:color="auto" w:sz="0" w:space="0"/>
          <w:shd w:val="clear" w:color="auto" w:fill="auto"/>
        </w:rPr>
        <w:t> </w:t>
      </w: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交通运输企业以上一年度营业收入为依据，确定本年度应计提金额，并逐月平均提取。具体如下：</w:t>
      </w:r>
    </w:p>
    <w:p w14:paraId="5C9D29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（一）普通货运业务1%；</w:t>
      </w:r>
    </w:p>
    <w:p w14:paraId="317DD49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（二）客运业务、管道运输、危险品等特殊货运业务1.5%。</w:t>
      </w:r>
    </w:p>
    <w:p w14:paraId="2FF1B7B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default" w:ascii="仿宋_GB2312" w:hAnsi="Microsoft YaHei UI" w:eastAsia="仿宋_GB2312" w:cs="仿宋_GB2312"/>
          <w:i w:val="0"/>
          <w:iCs w:val="0"/>
          <w:caps w:val="0"/>
          <w:spacing w:val="30"/>
          <w:sz w:val="32"/>
          <w:szCs w:val="32"/>
          <w:bdr w:val="none" w:color="auto" w:sz="0" w:space="0"/>
          <w:shd w:val="clear" w:color="auto" w:fill="auto"/>
        </w:rPr>
        <w:t>【解读】</w:t>
      </w:r>
    </w:p>
    <w:p w14:paraId="2E3A894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default" w:ascii="仿宋_GB2312" w:hAnsi="Microsoft YaHei UI" w:eastAsia="仿宋_GB2312" w:cs="仿宋_GB2312"/>
          <w:i w:val="0"/>
          <w:iCs w:val="0"/>
          <w:caps w:val="0"/>
          <w:spacing w:val="30"/>
          <w:sz w:val="32"/>
          <w:szCs w:val="32"/>
          <w:bdr w:val="none" w:color="auto" w:sz="0" w:space="0"/>
          <w:shd w:val="clear" w:color="auto" w:fill="auto"/>
        </w:rPr>
        <w:t>本条是交通运输企业安全生产费用的提取依据与标准。</w:t>
      </w:r>
    </w:p>
    <w:p w14:paraId="381F596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default" w:ascii="仿宋_GB2312" w:hAnsi="Microsoft YaHei UI" w:eastAsia="仿宋_GB2312" w:cs="仿宋_GB2312"/>
          <w:i w:val="0"/>
          <w:iCs w:val="0"/>
          <w:caps w:val="0"/>
          <w:spacing w:val="30"/>
          <w:sz w:val="32"/>
          <w:szCs w:val="32"/>
          <w:bdr w:val="none" w:color="auto" w:sz="0" w:space="0"/>
          <w:shd w:val="clear" w:color="auto" w:fill="auto"/>
        </w:rPr>
        <w:t>交通运输企业安全生产费用计提依据与标准维持原办法规定不变。</w:t>
      </w:r>
    </w:p>
    <w:p w14:paraId="0AA82DD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eastAsia" w:ascii="黑体" w:hAnsi="宋体" w:eastAsia="黑体" w:cs="黑体"/>
          <w:i w:val="0"/>
          <w:iCs w:val="0"/>
          <w:caps w:val="0"/>
          <w:spacing w:val="30"/>
          <w:sz w:val="32"/>
          <w:szCs w:val="32"/>
          <w:bdr w:val="none" w:color="auto" w:sz="0" w:space="0"/>
          <w:shd w:val="clear" w:color="auto" w:fill="auto"/>
        </w:rPr>
        <w:t>第二十五条</w:t>
      </w:r>
      <w:r>
        <w:rPr>
          <w:rFonts w:hint="default" w:ascii="仿宋_GB2312" w:hAnsi="Microsoft YaHei UI" w:eastAsia="仿宋_GB2312" w:cs="仿宋_GB2312"/>
          <w:i w:val="0"/>
          <w:iCs w:val="0"/>
          <w:caps w:val="0"/>
          <w:spacing w:val="30"/>
          <w:sz w:val="32"/>
          <w:szCs w:val="32"/>
          <w:bdr w:val="none" w:color="auto" w:sz="0" w:space="0"/>
          <w:shd w:val="clear" w:color="auto" w:fill="auto"/>
        </w:rPr>
        <w:t> </w:t>
      </w: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交通运输企业安全生产费用应当用于以下支出：</w:t>
      </w:r>
    </w:p>
    <w:p w14:paraId="4E85568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一）完善、改造和维护安全防护设施设备支出（不含“三同时”要求初期投入的安全设施），包括道路、水路、铁路、城市轨道交通、管道运输设施设备和装卸工具安全状况检测及维护系统、运输设施设备和装卸工具附属安全设备等支出；</w:t>
      </w:r>
    </w:p>
    <w:p w14:paraId="70F38F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（二）购置、安装和使用具有行驶记录功能的车辆卫星定位装置、视频监控装置、船舶通信导航定位和自动识别系统、电子海图等支出；</w:t>
      </w:r>
    </w:p>
    <w:p w14:paraId="25106DF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（三）铁路和城市轨道交通防灾监测预警设备及铁路周界入侵报警系统、铁路危险品运输安全监测设备支出；</w:t>
      </w:r>
    </w:p>
    <w:p w14:paraId="594A1D6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（四）配备、维护、保养应急救援器材、设备支出和应急救援队伍建设、应急预案制修订与应急演练支出；</w:t>
      </w:r>
    </w:p>
    <w:p w14:paraId="01F9250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（五）开展重大危险源检测、评估、监控支出，安全风险分级管控和事故隐患排查整改支出，安全生产信息化、智能化建设、运维和网络安全支出；</w:t>
      </w:r>
    </w:p>
    <w:p w14:paraId="6C116C8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（六）安全生产检查、评估评价（不含新建、改建、扩建项目安全评价）、咨询和标准化建设支出；</w:t>
      </w:r>
    </w:p>
    <w:p w14:paraId="18E0675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（七）配备和更新现场作业人员安全防护用品支出；</w:t>
      </w:r>
    </w:p>
    <w:p w14:paraId="1291089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（八）安全生产宣传、教育、培训和从业人员发现并报告事故隐患的奖励支出；</w:t>
      </w:r>
    </w:p>
    <w:p w14:paraId="50C2C2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（九）安全生产适用的新技术、新标准、新工艺、新装备的推广应用支出；</w:t>
      </w:r>
    </w:p>
    <w:p w14:paraId="4067145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（十）安全设施及特种设备检测检验、检定校准、铁路和城市轨道交通基础设备安全检测支出；</w:t>
      </w:r>
    </w:p>
    <w:p w14:paraId="009E986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（十一）安全生产责任保险及承运人责任保险支出；</w:t>
      </w:r>
    </w:p>
    <w:p w14:paraId="2C74D1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default" w:ascii="仿宋_GB2312" w:hAnsi="Microsoft YaHei UI" w:eastAsia="仿宋_GB2312" w:cs="仿宋_GB2312"/>
          <w:i w:val="0"/>
          <w:iCs w:val="0"/>
          <w:caps w:val="0"/>
          <w:spacing w:val="30"/>
          <w:sz w:val="32"/>
          <w:szCs w:val="32"/>
          <w:bdr w:val="none" w:color="auto" w:sz="0" w:space="0"/>
          <w:shd w:val="clear" w:color="auto" w:fill="auto"/>
        </w:rPr>
        <w:t>（十二）与安全生产直接相关的其他支出。</w:t>
      </w:r>
    </w:p>
    <w:p w14:paraId="19DCCCE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default" w:ascii="仿宋_GB2312" w:hAnsi="Microsoft YaHei UI" w:eastAsia="仿宋_GB2312" w:cs="仿宋_GB2312"/>
          <w:i w:val="0"/>
          <w:iCs w:val="0"/>
          <w:caps w:val="0"/>
          <w:spacing w:val="30"/>
          <w:sz w:val="32"/>
          <w:szCs w:val="32"/>
          <w:bdr w:val="none" w:color="auto" w:sz="0" w:space="0"/>
          <w:shd w:val="clear" w:color="auto" w:fill="auto"/>
        </w:rPr>
        <w:t>【解读】</w:t>
      </w:r>
    </w:p>
    <w:p w14:paraId="249C94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default" w:ascii="仿宋_GB2312" w:hAnsi="Microsoft YaHei UI" w:eastAsia="仿宋_GB2312" w:cs="仿宋_GB2312"/>
          <w:i w:val="0"/>
          <w:iCs w:val="0"/>
          <w:caps w:val="0"/>
          <w:spacing w:val="30"/>
          <w:sz w:val="32"/>
          <w:szCs w:val="32"/>
          <w:bdr w:val="none" w:color="auto" w:sz="0" w:space="0"/>
          <w:shd w:val="clear" w:color="auto" w:fill="auto"/>
        </w:rPr>
        <w:t>本条是交通运输企业安全生产费用的使用范围。</w:t>
      </w:r>
    </w:p>
    <w:p w14:paraId="67005C3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default" w:ascii="仿宋_GB2312" w:hAnsi="Microsoft YaHei UI" w:eastAsia="仿宋_GB2312" w:cs="仿宋_GB2312"/>
          <w:i w:val="0"/>
          <w:iCs w:val="0"/>
          <w:caps w:val="0"/>
          <w:spacing w:val="30"/>
          <w:sz w:val="32"/>
          <w:szCs w:val="32"/>
          <w:bdr w:val="none" w:color="auto" w:sz="0" w:space="0"/>
          <w:shd w:val="clear" w:color="auto" w:fill="auto"/>
        </w:rPr>
        <w:t>本条基于原办法第二十一条修订，扩大了交通运输企业安全生产费用支出范围。考虑到在交通运输领域增加了城市轨道交通，安全生产费用使用范围增加了与城市轨道交通安全直接相关的城市轨道交通运输设施设备和装卸工具安全状况检测及维护系统、运输设施设备和装卸工具附属安全设备等支出。同时根据加强安全生产监控监测信息化的需求，此次修订增加了铁路和城市轨道交通防灾监测预警设备、铁路周界入侵报警系统、铁路危险品运输安全监测设备、铁路和城市轨道交通基础设备安全检测等支出内容。</w:t>
      </w:r>
    </w:p>
    <w:p w14:paraId="0460435F">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Fonts w:hint="default" w:ascii="仿宋_GB2312" w:hAnsi="Microsoft YaHei UI" w:eastAsia="仿宋_GB2312" w:cs="仿宋_GB2312"/>
          <w:i w:val="0"/>
          <w:iCs w:val="0"/>
          <w:caps w:val="0"/>
          <w:spacing w:val="30"/>
          <w:sz w:val="32"/>
          <w:szCs w:val="32"/>
          <w:bdr w:val="none" w:color="auto" w:sz="0" w:space="0"/>
          <w:shd w:val="clear" w:color="auto" w:fill="auto"/>
        </w:rPr>
        <w:t>2019年交通运输部印发通知，要求进一步加快智能视频监控报警装置安装，提升道路运输车辆技术性能，加强道路运输安全监管，本次修订将车辆视频监控装置支出纳入。考虑到办法出台前，交通运输领域已实施强制性责任保险（《中华人民共和国道路运输条例》第三十五条：客运经营者、危险货物运输经营者应当分别为旅客或者危险货物投保承运人责任险），为与安全生产责任保险衔接，办法明确交通运输企业安全生产责任保险及承运人责任保险可纳入安全生产费用使用范围。</w:t>
      </w:r>
    </w:p>
    <w:p w14:paraId="793BAD3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hint="eastAsia" w:ascii="宋体" w:hAnsi="宋体" w:eastAsia="宋体" w:cs="宋体"/>
          <w:i w:val="0"/>
          <w:iCs w:val="0"/>
          <w:caps w:val="0"/>
          <w:spacing w:val="30"/>
          <w:sz w:val="21"/>
          <w:szCs w:val="21"/>
          <w:bdr w:val="none" w:color="auto" w:sz="0" w:space="0"/>
          <w:shd w:val="clear" w:color="auto" w:fill="auto"/>
        </w:rPr>
        <w:t>交通运输企业安全生产费用支出负面清单</w:t>
      </w:r>
    </w:p>
    <w:tbl>
      <w:tblPr>
        <w:tblW w:w="958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8F9FF"/>
        <w:tblLayout w:type="autofit"/>
        <w:tblCellMar>
          <w:top w:w="0" w:type="dxa"/>
          <w:left w:w="0" w:type="dxa"/>
          <w:bottom w:w="0" w:type="dxa"/>
          <w:right w:w="0" w:type="dxa"/>
        </w:tblCellMar>
      </w:tblPr>
      <w:tblGrid>
        <w:gridCol w:w="2938"/>
        <w:gridCol w:w="6647"/>
      </w:tblGrid>
      <w:tr w14:paraId="0EAE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blHeader/>
        </w:trPr>
        <w:tc>
          <w:tcPr>
            <w:tcW w:w="2025" w:type="dxa"/>
            <w:tcBorders>
              <w:top w:val="single" w:color="auto" w:sz="8" w:space="0"/>
              <w:left w:val="single" w:color="auto" w:sz="8" w:space="0"/>
              <w:bottom w:val="single" w:color="auto" w:sz="8" w:space="0"/>
              <w:right w:val="single" w:color="auto" w:sz="8" w:space="0"/>
            </w:tcBorders>
            <w:shd w:val="clear" w:color="auto" w:fill="F8F9FF"/>
            <w:tcMar>
              <w:left w:w="108" w:type="dxa"/>
              <w:right w:w="108" w:type="dxa"/>
            </w:tcMar>
            <w:vAlign w:val="center"/>
          </w:tcPr>
          <w:p w14:paraId="0DDB6B7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rPr>
                <w:shd w:val="clear" w:color="auto" w:fill="auto"/>
              </w:rPr>
            </w:pPr>
            <w:r>
              <w:rPr>
                <w:rStyle w:val="6"/>
                <w:rFonts w:hint="eastAsia" w:ascii="宋体" w:hAnsi="宋体" w:eastAsia="宋体" w:cs="宋体"/>
                <w:i w:val="0"/>
                <w:iCs w:val="0"/>
                <w:caps w:val="0"/>
                <w:spacing w:val="30"/>
                <w:sz w:val="21"/>
                <w:szCs w:val="21"/>
                <w:bdr w:val="none" w:color="auto" w:sz="0" w:space="0"/>
                <w:shd w:val="clear" w:color="auto" w:fill="auto"/>
              </w:rPr>
              <w:t>类 别</w:t>
            </w:r>
          </w:p>
        </w:tc>
        <w:tc>
          <w:tcPr>
            <w:tcW w:w="4785" w:type="dxa"/>
            <w:tcBorders>
              <w:top w:val="single" w:color="auto" w:sz="8" w:space="0"/>
              <w:left w:val="nil"/>
              <w:bottom w:val="single" w:color="auto" w:sz="8" w:space="0"/>
              <w:right w:val="single" w:color="auto" w:sz="8" w:space="0"/>
            </w:tcBorders>
            <w:shd w:val="clear" w:color="auto" w:fill="F8F9FF"/>
            <w:tcMar>
              <w:left w:w="108" w:type="dxa"/>
              <w:right w:w="108" w:type="dxa"/>
            </w:tcMar>
            <w:vAlign w:val="center"/>
          </w:tcPr>
          <w:p w14:paraId="6524CD0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center"/>
              <w:rPr>
                <w:shd w:val="clear" w:color="auto" w:fill="auto"/>
              </w:rPr>
            </w:pPr>
            <w:r>
              <w:rPr>
                <w:rStyle w:val="6"/>
                <w:rFonts w:hint="eastAsia" w:ascii="宋体" w:hAnsi="宋体" w:eastAsia="宋体" w:cs="宋体"/>
                <w:i w:val="0"/>
                <w:iCs w:val="0"/>
                <w:caps w:val="0"/>
                <w:spacing w:val="30"/>
                <w:sz w:val="21"/>
                <w:szCs w:val="21"/>
                <w:bdr w:val="none" w:color="auto" w:sz="0" w:space="0"/>
                <w:shd w:val="clear" w:color="auto" w:fill="auto"/>
              </w:rPr>
              <w:t>名  称</w:t>
            </w:r>
          </w:p>
        </w:tc>
      </w:tr>
      <w:tr w14:paraId="0C024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restart"/>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3C4D4E0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color w:val="000000"/>
                <w:spacing w:val="30"/>
                <w:sz w:val="21"/>
                <w:szCs w:val="21"/>
                <w:bdr w:val="none" w:color="auto" w:sz="0" w:space="0"/>
                <w:shd w:val="clear" w:color="auto" w:fill="auto"/>
              </w:rPr>
              <w:t>安全防护设施设备维护支出</w:t>
            </w:r>
          </w:p>
        </w:tc>
        <w:tc>
          <w:tcPr>
            <w:tcW w:w="4785" w:type="dxa"/>
            <w:tcBorders>
              <w:top w:val="nil"/>
              <w:left w:val="nil"/>
              <w:bottom w:val="single" w:color="auto" w:sz="8" w:space="0"/>
              <w:right w:val="single" w:color="auto" w:sz="8" w:space="0"/>
            </w:tcBorders>
            <w:shd w:val="clear" w:color="auto" w:fill="F8F9FF"/>
            <w:tcMar>
              <w:left w:w="108" w:type="dxa"/>
              <w:right w:w="108" w:type="dxa"/>
            </w:tcMar>
            <w:vAlign w:val="center"/>
          </w:tcPr>
          <w:p w14:paraId="03CACF0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1.按照“三同时”要求初期投入的安全设施支出；</w:t>
            </w:r>
          </w:p>
        </w:tc>
      </w:tr>
      <w:tr w14:paraId="6BC2F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4479AEAC">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612C36D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2.客货运输的通航建筑物（含船闸和升船机）和航运枢纽大坝设施设备和关键部位日常运行监测和维护支出； </w:t>
            </w:r>
          </w:p>
        </w:tc>
      </w:tr>
      <w:tr w14:paraId="202D40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5DDB3566">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234D1E2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3.道路、港口、铁路的养护费用。</w:t>
            </w:r>
          </w:p>
        </w:tc>
      </w:tr>
      <w:tr w14:paraId="13D6D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45B8699C">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40" w:lineRule="atLeast"/>
              <w:ind w:left="0" w:right="0"/>
              <w:jc w:val="both"/>
              <w:rPr>
                <w:shd w:val="clear" w:color="auto" w:fill="auto"/>
              </w:rPr>
            </w:pPr>
            <w:r>
              <w:rPr>
                <w:rFonts w:hint="eastAsia" w:ascii="宋体" w:hAnsi="宋体" w:eastAsia="宋体" w:cs="宋体"/>
                <w:i w:val="0"/>
                <w:iCs w:val="0"/>
                <w:caps w:val="0"/>
                <w:color w:val="000000"/>
                <w:spacing w:val="30"/>
                <w:sz w:val="21"/>
                <w:szCs w:val="21"/>
                <w:bdr w:val="none" w:color="auto" w:sz="0" w:space="0"/>
                <w:shd w:val="clear" w:color="auto" w:fill="auto"/>
              </w:rPr>
              <w:t>购置、安装和使用车辆定位、视频监控、船舶导航定位和电子海图等支出</w:t>
            </w:r>
          </w:p>
        </w:tc>
        <w:tc>
          <w:tcPr>
            <w:tcW w:w="4785" w:type="dxa"/>
            <w:tcBorders>
              <w:top w:val="nil"/>
              <w:left w:val="nil"/>
              <w:bottom w:val="single" w:color="auto" w:sz="8" w:space="0"/>
              <w:right w:val="single" w:color="auto" w:sz="8" w:space="0"/>
            </w:tcBorders>
            <w:shd w:val="clear" w:color="auto" w:fill="F8F9FF"/>
            <w:tcMar>
              <w:left w:w="108" w:type="dxa"/>
              <w:right w:w="108" w:type="dxa"/>
            </w:tcMar>
            <w:vAlign w:val="center"/>
          </w:tcPr>
          <w:p w14:paraId="0CE5C580">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color w:val="000000"/>
                <w:spacing w:val="30"/>
                <w:sz w:val="21"/>
                <w:szCs w:val="21"/>
                <w:bdr w:val="none" w:color="auto" w:sz="0" w:space="0"/>
                <w:shd w:val="clear" w:color="auto" w:fill="auto"/>
              </w:rPr>
              <w:t>购置、安装和使用</w:t>
            </w:r>
            <w:r>
              <w:rPr>
                <w:rFonts w:hint="eastAsia" w:ascii="宋体" w:hAnsi="宋体" w:eastAsia="宋体" w:cs="宋体"/>
                <w:i w:val="0"/>
                <w:iCs w:val="0"/>
                <w:caps w:val="0"/>
                <w:spacing w:val="30"/>
                <w:sz w:val="21"/>
                <w:szCs w:val="21"/>
                <w:bdr w:val="none" w:color="auto" w:sz="0" w:space="0"/>
                <w:shd w:val="clear" w:color="auto" w:fill="auto"/>
              </w:rPr>
              <w:t>船舶集装箱定位及物联网设备支出。</w:t>
            </w:r>
          </w:p>
        </w:tc>
      </w:tr>
      <w:tr w14:paraId="600EBA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restart"/>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3FDAE30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color w:val="000000"/>
                <w:spacing w:val="30"/>
                <w:sz w:val="21"/>
                <w:szCs w:val="21"/>
                <w:bdr w:val="none" w:color="auto" w:sz="0" w:space="0"/>
                <w:shd w:val="clear" w:color="auto" w:fill="auto"/>
              </w:rPr>
              <w:t>应急能力建设支出</w:t>
            </w:r>
          </w:p>
        </w:tc>
        <w:tc>
          <w:tcPr>
            <w:tcW w:w="4785" w:type="dxa"/>
            <w:tcBorders>
              <w:top w:val="nil"/>
              <w:left w:val="nil"/>
              <w:bottom w:val="single" w:color="auto" w:sz="8" w:space="0"/>
              <w:right w:val="single" w:color="auto" w:sz="8" w:space="0"/>
            </w:tcBorders>
            <w:shd w:val="clear" w:color="auto" w:fill="F8F9FF"/>
            <w:tcMar>
              <w:left w:w="108" w:type="dxa"/>
              <w:right w:w="108" w:type="dxa"/>
            </w:tcMar>
            <w:vAlign w:val="center"/>
          </w:tcPr>
          <w:p w14:paraId="48A2E88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1.应急救援人员工资及劳务费；</w:t>
            </w:r>
          </w:p>
        </w:tc>
      </w:tr>
      <w:tr w14:paraId="2000DE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41E20E74">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5154DEC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2.外援救护服务支出，如应急救援协议年费、外协医疗急救服务年费；</w:t>
            </w:r>
          </w:p>
        </w:tc>
      </w:tr>
      <w:tr w14:paraId="3124E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480BF92E">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46A7DC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3.生产安全事故发生后的应急处置、现场清理、人员接待、伤害赔偿与补助、抚恤金、罚款等费用。</w:t>
            </w:r>
          </w:p>
        </w:tc>
      </w:tr>
      <w:tr w14:paraId="466F7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2115" w:type="dxa"/>
            <w:vMerge w:val="restart"/>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0D8659C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4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重大危险源检测、评估、监控，安全风险分级管控和事故隐患排查整改，安全生产信息化建设</w:t>
            </w:r>
            <w:r>
              <w:rPr>
                <w:rFonts w:hint="eastAsia" w:ascii="宋体" w:hAnsi="宋体" w:eastAsia="宋体" w:cs="宋体"/>
                <w:i w:val="0"/>
                <w:iCs w:val="0"/>
                <w:caps w:val="0"/>
                <w:color w:val="000000"/>
                <w:spacing w:val="30"/>
                <w:sz w:val="21"/>
                <w:szCs w:val="21"/>
                <w:bdr w:val="none" w:color="auto" w:sz="0" w:space="0"/>
                <w:shd w:val="clear" w:color="auto" w:fill="auto"/>
              </w:rPr>
              <w:t>支出</w:t>
            </w:r>
          </w:p>
        </w:tc>
        <w:tc>
          <w:tcPr>
            <w:tcW w:w="4785" w:type="dxa"/>
            <w:tcBorders>
              <w:top w:val="nil"/>
              <w:left w:val="nil"/>
              <w:bottom w:val="single" w:color="auto" w:sz="8" w:space="0"/>
              <w:right w:val="single" w:color="auto" w:sz="8" w:space="0"/>
            </w:tcBorders>
            <w:shd w:val="clear" w:color="auto" w:fill="F8F9FF"/>
            <w:tcMar>
              <w:left w:w="108" w:type="dxa"/>
              <w:right w:w="108" w:type="dxa"/>
            </w:tcMar>
            <w:vAlign w:val="center"/>
          </w:tcPr>
          <w:p w14:paraId="37B6FBF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1.重大危险源起火、爆炸、毒气泄漏等事故发生后的救援、善后处理等费用；</w:t>
            </w:r>
          </w:p>
        </w:tc>
      </w:tr>
      <w:tr w14:paraId="2E272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0CA511BD">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6962F1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2.隐患项目治理过程中环保治理、职业病防护设施“三同时”支出；</w:t>
            </w:r>
          </w:p>
        </w:tc>
      </w:tr>
      <w:tr w14:paraId="0488F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5"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0A0550CB">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5B77F1C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3.监控设备安装后委托第三方实时监控运营支出。</w:t>
            </w:r>
          </w:p>
        </w:tc>
      </w:tr>
      <w:tr w14:paraId="78BE2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restart"/>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12CD835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安全检查、评价、咨询支出</w:t>
            </w:r>
          </w:p>
        </w:tc>
        <w:tc>
          <w:tcPr>
            <w:tcW w:w="4485" w:type="dxa"/>
            <w:tcBorders>
              <w:top w:val="nil"/>
              <w:left w:val="nil"/>
              <w:bottom w:val="single" w:color="auto" w:sz="8" w:space="0"/>
              <w:right w:val="single" w:color="auto" w:sz="8" w:space="0"/>
            </w:tcBorders>
            <w:shd w:val="clear" w:color="auto" w:fill="F8F9FF"/>
            <w:tcMar>
              <w:left w:w="108" w:type="dxa"/>
              <w:right w:w="108" w:type="dxa"/>
            </w:tcMar>
            <w:vAlign w:val="center"/>
          </w:tcPr>
          <w:p w14:paraId="253D84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1.新建、改建、扩建项目安全评价；</w:t>
            </w:r>
          </w:p>
        </w:tc>
      </w:tr>
      <w:tr w14:paraId="05DF4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37C14866">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4BBED81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2.与安全生产无直接相关的体系审核、报告审核、专家工时费用等服务支出。</w:t>
            </w:r>
          </w:p>
        </w:tc>
      </w:tr>
      <w:tr w14:paraId="436A71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1815" w:type="dxa"/>
            <w:vMerge w:val="restart"/>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091840D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4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现场作业人员安全防护用品支出</w:t>
            </w:r>
          </w:p>
        </w:tc>
        <w:tc>
          <w:tcPr>
            <w:tcW w:w="4785" w:type="dxa"/>
            <w:tcBorders>
              <w:top w:val="nil"/>
              <w:left w:val="nil"/>
              <w:bottom w:val="single" w:color="auto" w:sz="8" w:space="0"/>
              <w:right w:val="single" w:color="auto" w:sz="8" w:space="0"/>
            </w:tcBorders>
            <w:shd w:val="clear" w:color="auto" w:fill="F8F9FF"/>
            <w:tcMar>
              <w:left w:w="108" w:type="dxa"/>
              <w:right w:w="108" w:type="dxa"/>
            </w:tcMar>
            <w:vAlign w:val="center"/>
          </w:tcPr>
          <w:p w14:paraId="1A16F29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1.职工防寒、防暑物品以及普通工作服、洗护用品等劳保用品支出（按照《个体防护装备配备规范》（GB39800）要求为现场作业人员配备使用的防护用品支出除外）；</w:t>
            </w:r>
          </w:p>
        </w:tc>
      </w:tr>
      <w:tr w14:paraId="2AD65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18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7A67624B">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3244E3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color w:val="000000"/>
                <w:spacing w:val="30"/>
                <w:sz w:val="21"/>
                <w:szCs w:val="21"/>
                <w:bdr w:val="none" w:color="auto" w:sz="0" w:space="0"/>
                <w:shd w:val="clear" w:color="auto" w:fill="auto"/>
              </w:rPr>
              <w:t>2.防疫物资购置支出。</w:t>
            </w:r>
          </w:p>
        </w:tc>
      </w:tr>
      <w:tr w14:paraId="4CDBE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16098F1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2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安全生产宣教培训支出</w:t>
            </w:r>
          </w:p>
        </w:tc>
        <w:tc>
          <w:tcPr>
            <w:tcW w:w="4785" w:type="dxa"/>
            <w:tcBorders>
              <w:top w:val="nil"/>
              <w:left w:val="nil"/>
              <w:bottom w:val="single" w:color="auto" w:sz="8" w:space="0"/>
              <w:right w:val="single" w:color="auto" w:sz="8" w:space="0"/>
            </w:tcBorders>
            <w:shd w:val="clear" w:color="auto" w:fill="F8F9FF"/>
            <w:tcMar>
              <w:left w:w="108" w:type="dxa"/>
              <w:right w:w="108" w:type="dxa"/>
            </w:tcMar>
            <w:vAlign w:val="center"/>
          </w:tcPr>
          <w:p w14:paraId="3C21EE71">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企业负责人、安全生产管理人员、特种设备作业人员参加非安全生产相关的岗前培训费、考试费、办证费等费用。</w:t>
            </w:r>
          </w:p>
        </w:tc>
      </w:tr>
      <w:tr w14:paraId="68A372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5225DCB7">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安全“四新”推广应用支出</w:t>
            </w:r>
          </w:p>
        </w:tc>
        <w:tc>
          <w:tcPr>
            <w:tcW w:w="4785" w:type="dxa"/>
            <w:tcBorders>
              <w:top w:val="nil"/>
              <w:left w:val="nil"/>
              <w:bottom w:val="single" w:color="auto" w:sz="8" w:space="0"/>
              <w:right w:val="single" w:color="auto" w:sz="8" w:space="0"/>
            </w:tcBorders>
            <w:shd w:val="clear" w:color="auto" w:fill="F8F9FF"/>
            <w:tcMar>
              <w:left w:w="108" w:type="dxa"/>
              <w:right w:w="108" w:type="dxa"/>
            </w:tcMar>
            <w:vAlign w:val="center"/>
          </w:tcPr>
          <w:p w14:paraId="35D41475">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“四新”（新技术、新标准、新工艺、新装备）的研究、开发等前期费用。</w:t>
            </w:r>
          </w:p>
        </w:tc>
      </w:tr>
      <w:tr w14:paraId="5FE5F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restart"/>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22A1E37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安全设施、特种设备检测检验、检定校准支出</w:t>
            </w:r>
          </w:p>
        </w:tc>
        <w:tc>
          <w:tcPr>
            <w:tcW w:w="4785" w:type="dxa"/>
            <w:tcBorders>
              <w:top w:val="nil"/>
              <w:left w:val="nil"/>
              <w:bottom w:val="single" w:color="auto" w:sz="8" w:space="0"/>
              <w:right w:val="single" w:color="auto" w:sz="8" w:space="0"/>
            </w:tcBorders>
            <w:shd w:val="clear" w:color="auto" w:fill="F8F9FF"/>
            <w:tcMar>
              <w:left w:w="108" w:type="dxa"/>
              <w:right w:w="108" w:type="dxa"/>
            </w:tcMar>
            <w:vAlign w:val="center"/>
          </w:tcPr>
          <w:p w14:paraId="5A1A7B5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1.普通机械设备检测检验、检定校准费用；</w:t>
            </w:r>
          </w:p>
        </w:tc>
      </w:tr>
      <w:tr w14:paraId="6261A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2579561C">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585FE9FB">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2.道路运输车辆的检测费用、年审费用、维修费。</w:t>
            </w:r>
          </w:p>
        </w:tc>
      </w:tr>
      <w:tr w14:paraId="0C904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020C1A59">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36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安全生产责任保险及承运人责任保险支出</w:t>
            </w:r>
          </w:p>
        </w:tc>
        <w:tc>
          <w:tcPr>
            <w:tcW w:w="4785" w:type="dxa"/>
            <w:tcBorders>
              <w:top w:val="nil"/>
              <w:left w:val="nil"/>
              <w:bottom w:val="single" w:color="auto" w:sz="8" w:space="0"/>
              <w:right w:val="single" w:color="auto" w:sz="8" w:space="0"/>
            </w:tcBorders>
            <w:shd w:val="clear" w:color="auto" w:fill="F8F9FF"/>
            <w:tcMar>
              <w:left w:w="108" w:type="dxa"/>
              <w:right w:w="108" w:type="dxa"/>
            </w:tcMar>
            <w:vAlign w:val="center"/>
          </w:tcPr>
          <w:p w14:paraId="5D7FBA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法定安全生产责任保险及承运人责任保险之外的其他保险费用。 </w:t>
            </w:r>
          </w:p>
        </w:tc>
      </w:tr>
      <w:tr w14:paraId="578AA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restart"/>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6682BEB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其它直接相关支出</w:t>
            </w:r>
          </w:p>
        </w:tc>
        <w:tc>
          <w:tcPr>
            <w:tcW w:w="4785" w:type="dxa"/>
            <w:tcBorders>
              <w:top w:val="nil"/>
              <w:left w:val="nil"/>
              <w:bottom w:val="single" w:color="auto" w:sz="8" w:space="0"/>
              <w:right w:val="single" w:color="auto" w:sz="8" w:space="0"/>
            </w:tcBorders>
            <w:shd w:val="clear" w:color="auto" w:fill="F8F9FF"/>
            <w:tcMar>
              <w:left w:w="108" w:type="dxa"/>
              <w:right w:w="108" w:type="dxa"/>
            </w:tcMar>
            <w:vAlign w:val="center"/>
          </w:tcPr>
          <w:p w14:paraId="765EEE0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1.从业人员发现并报告事故隐患奖励之外的安全生产考核奖励支出； </w:t>
            </w:r>
          </w:p>
        </w:tc>
      </w:tr>
      <w:tr w14:paraId="0595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64CFC0F8">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680DF61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2.专职或兼职安全管理人员薪酬、社保和岗位风险津贴，安检、保安岗位人员工资；</w:t>
            </w:r>
          </w:p>
        </w:tc>
      </w:tr>
      <w:tr w14:paraId="71B5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230DDA32">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694E8C8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3.职业病危害因素检测、</w:t>
            </w:r>
            <w:r>
              <w:rPr>
                <w:rFonts w:hint="eastAsia" w:ascii="宋体" w:hAnsi="宋体" w:eastAsia="宋体" w:cs="宋体"/>
                <w:i w:val="0"/>
                <w:iCs w:val="0"/>
                <w:caps w:val="0"/>
                <w:color w:val="000000"/>
                <w:spacing w:val="30"/>
                <w:sz w:val="21"/>
                <w:szCs w:val="21"/>
                <w:bdr w:val="none" w:color="auto" w:sz="0" w:space="0"/>
                <w:shd w:val="clear" w:color="auto" w:fill="auto"/>
              </w:rPr>
              <w:t>职业健康体检以及职业病诊断、鉴定、治疗、康复费用；</w:t>
            </w:r>
          </w:p>
        </w:tc>
      </w:tr>
      <w:tr w14:paraId="0C788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1" w:hRule="atLeast"/>
        </w:trPr>
        <w:tc>
          <w:tcPr>
            <w:tcW w:w="2115" w:type="dxa"/>
            <w:vMerge w:val="continue"/>
            <w:tcBorders>
              <w:top w:val="nil"/>
              <w:left w:val="single" w:color="auto" w:sz="8" w:space="0"/>
              <w:bottom w:val="single" w:color="auto" w:sz="8" w:space="0"/>
              <w:right w:val="single" w:color="auto" w:sz="8" w:space="0"/>
            </w:tcBorders>
            <w:shd w:val="clear" w:color="auto" w:fill="F8F9FF"/>
            <w:tcMar>
              <w:left w:w="108" w:type="dxa"/>
              <w:right w:w="108" w:type="dxa"/>
            </w:tcMar>
            <w:vAlign w:val="center"/>
          </w:tcPr>
          <w:p w14:paraId="15EE9749">
            <w:pPr>
              <w:shd w:val="clear"/>
              <w:jc w:val="both"/>
              <w:rPr>
                <w:rFonts w:hint="eastAsia" w:ascii="Microsoft YaHei UI" w:hAnsi="Microsoft YaHei UI" w:eastAsia="Microsoft YaHei UI" w:cs="Microsoft YaHei UI"/>
                <w:i w:val="0"/>
                <w:iCs w:val="0"/>
                <w:caps w:val="0"/>
                <w:spacing w:val="30"/>
                <w:sz w:val="21"/>
                <w:szCs w:val="21"/>
                <w:shd w:val="clear" w:color="auto" w:fill="auto"/>
              </w:rPr>
            </w:pPr>
          </w:p>
        </w:tc>
        <w:tc>
          <w:tcPr>
            <w:tcW w:w="3060" w:type="dxa"/>
            <w:tcBorders>
              <w:top w:val="nil"/>
              <w:left w:val="nil"/>
              <w:bottom w:val="single" w:color="auto" w:sz="8" w:space="0"/>
              <w:right w:val="single" w:color="auto" w:sz="8" w:space="0"/>
            </w:tcBorders>
            <w:shd w:val="clear" w:color="auto" w:fill="F8F9FF"/>
            <w:tcMar>
              <w:left w:w="108" w:type="dxa"/>
              <w:right w:w="108" w:type="dxa"/>
            </w:tcMar>
            <w:vAlign w:val="center"/>
          </w:tcPr>
          <w:p w14:paraId="58CCFEA6">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wordWrap w:val="0"/>
              <w:spacing w:before="0" w:beforeAutospacing="0" w:after="0" w:afterAutospacing="0" w:line="400" w:lineRule="atLeast"/>
              <w:ind w:left="0" w:right="0"/>
              <w:jc w:val="both"/>
              <w:rPr>
                <w:shd w:val="clear" w:color="auto" w:fill="auto"/>
              </w:rPr>
            </w:pPr>
            <w:r>
              <w:rPr>
                <w:rFonts w:hint="eastAsia" w:ascii="宋体" w:hAnsi="宋体" w:eastAsia="宋体" w:cs="宋体"/>
                <w:i w:val="0"/>
                <w:iCs w:val="0"/>
                <w:caps w:val="0"/>
                <w:spacing w:val="30"/>
                <w:sz w:val="21"/>
                <w:szCs w:val="21"/>
                <w:bdr w:val="none" w:color="auto" w:sz="0" w:space="0"/>
                <w:shd w:val="clear" w:color="auto" w:fill="auto"/>
              </w:rPr>
              <w:t>4.</w:t>
            </w:r>
            <w:r>
              <w:rPr>
                <w:rFonts w:hint="eastAsia" w:ascii="宋体" w:hAnsi="宋体" w:eastAsia="宋体" w:cs="宋体"/>
                <w:i w:val="0"/>
                <w:iCs w:val="0"/>
                <w:caps w:val="0"/>
                <w:color w:val="000000"/>
                <w:spacing w:val="30"/>
                <w:sz w:val="21"/>
                <w:szCs w:val="21"/>
                <w:bdr w:val="none" w:color="auto" w:sz="0" w:space="0"/>
                <w:shd w:val="clear" w:color="auto" w:fill="auto"/>
              </w:rPr>
              <w:t>企业生产经营过程中的费用，与安全生产无直接相关的生产设备运行成本等。</w:t>
            </w:r>
          </w:p>
        </w:tc>
      </w:tr>
    </w:tbl>
    <w:p w14:paraId="05E4FB5E">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ind w:left="0" w:right="0" w:firstLine="0"/>
        <w:jc w:val="both"/>
        <w:rPr>
          <w:rFonts w:hint="eastAsia" w:ascii="Microsoft YaHei UI" w:hAnsi="Microsoft YaHei UI" w:eastAsia="Microsoft YaHei UI" w:cs="Microsoft YaHei UI"/>
          <w:i w:val="0"/>
          <w:iCs w:val="0"/>
          <w:caps w:val="0"/>
          <w:spacing w:val="30"/>
          <w:sz w:val="21"/>
          <w:szCs w:val="21"/>
          <w:shd w:val="clear" w:color="auto" w:fill="auto"/>
        </w:rPr>
      </w:pPr>
      <w:r>
        <w:rPr>
          <w:rStyle w:val="6"/>
          <w:rFonts w:ascii="楷体" w:hAnsi="楷体" w:eastAsia="楷体" w:cs="楷体"/>
          <w:i w:val="0"/>
          <w:iCs w:val="0"/>
          <w:caps w:val="0"/>
          <w:spacing w:val="30"/>
          <w:sz w:val="21"/>
          <w:szCs w:val="21"/>
          <w:bdr w:val="none" w:color="auto" w:sz="0" w:space="0"/>
          <w:shd w:val="clear" w:color="auto" w:fill="auto"/>
        </w:rPr>
        <w:t>注：</w:t>
      </w:r>
      <w:r>
        <w:rPr>
          <w:rFonts w:hint="eastAsia" w:ascii="楷体" w:hAnsi="楷体" w:eastAsia="楷体" w:cs="楷体"/>
          <w:i w:val="0"/>
          <w:iCs w:val="0"/>
          <w:caps w:val="0"/>
          <w:spacing w:val="30"/>
          <w:sz w:val="21"/>
          <w:szCs w:val="21"/>
          <w:bdr w:val="none" w:color="auto" w:sz="0" w:space="0"/>
          <w:shd w:val="clear" w:color="auto" w:fill="auto"/>
        </w:rPr>
        <w:t>以上清单支出范围不宜列入交通运输企业安全生产费用，需要按原有费用渠道列支和管理。</w:t>
      </w:r>
    </w:p>
    <w:p w14:paraId="0C9EA7D5">
      <w:pPr>
        <w:shd w:val="clear"/>
        <w:rPr>
          <w:shd w:val="clear" w:color="auto" w:fill="auto"/>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ODM3ZmMzOTIxYTY5ZGE0MmM0ZWIzZTNiM2RiNDkifQ=="/>
  </w:docVars>
  <w:rsids>
    <w:rsidRoot w:val="00000000"/>
    <w:rsid w:val="153B51D1"/>
    <w:rsid w:val="36D75BBF"/>
    <w:rsid w:val="53C12719"/>
    <w:rsid w:val="685B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宋体" w:cs="Arial"/>
      <w:snapToGrid w:val="0"/>
      <w:color w:val="000000"/>
      <w:kern w:val="0"/>
      <w:sz w:val="22"/>
      <w:szCs w:val="21"/>
    </w:rPr>
  </w:style>
  <w:style w:type="paragraph" w:styleId="2">
    <w:name w:val="heading 2"/>
    <w:basedOn w:val="1"/>
    <w:next w:val="1"/>
    <w:link w:val="7"/>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customStyle="1" w:styleId="7">
    <w:name w:val="标题 2 Char"/>
    <w:link w:val="2"/>
    <w:qFormat/>
    <w:uiPriority w:val="0"/>
    <w:rPr>
      <w:rFonts w:hint="eastAsia" w:ascii="宋体" w:hAnsi="宋体" w:eastAsia="宋体" w:cs="宋体"/>
      <w:b/>
      <w:bCs/>
      <w:kern w:val="0"/>
      <w:sz w:val="28"/>
      <w:szCs w:val="36"/>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2023-09-01T02:47:00Z</dcterms:created>
  <dc:creator>Administrator</dc:creator>
  <cp:lastModifiedBy>陆桂玲</cp:lastModifiedBy>
  <dcterms:modified xsi:type="dcterms:W3CDTF">2024-08-16T01:35:32Z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5FBA95F49E53415F82079D885FC22978_12</vt:lpwstr>
  </property>
</Properties>
</file>