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D1D2D4" w:sz="6" w:space="0"/>
          <w:left w:val="single" w:color="D1D2D4" w:sz="6" w:space="0"/>
          <w:bottom w:val="single" w:color="D1D2D4" w:sz="6" w:space="0"/>
          <w:right w:val="single" w:color="D1D2D4" w:sz="6"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微软雅黑" w:hAnsi="微软雅黑" w:eastAsia="微软雅黑" w:cs="微软雅黑"/>
          <w:color w:val="000000" w:themeColor="text1"/>
          <w:sz w:val="42"/>
          <w:szCs w:val="4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42"/>
          <w:szCs w:val="42"/>
          <w:bdr w:val="none" w:color="auto" w:sz="0" w:space="0"/>
          <w:shd w:val="clear" w:fill="FFFFFF"/>
          <w14:textFill>
            <w14:solidFill>
              <w14:schemeClr w14:val="tx1"/>
            </w14:solidFill>
          </w14:textFill>
        </w:rPr>
        <w:t>交通运输部关于印发《全国重点营运车辆联网联控系统考核管理办法》的通知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70" w:lineRule="atLeast"/>
        <w:ind w:left="0" w:right="0"/>
        <w:jc w:val="center"/>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shd w:val="clear" w:fill="FFFFFF"/>
          <w14:textFill>
            <w14:solidFill>
              <w14:schemeClr w14:val="tx1"/>
            </w14:solidFill>
          </w14:textFill>
        </w:rPr>
        <w:t>交运发〔2016〕160号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both"/>
        <w:rPr>
          <w:rFonts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各省、自治区、直辖市、新疆生产建设兵团交通运输厅（局、委）：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现将修订后的《全国重点营运车辆联网联控系统考核管理办法》印</w:t>
      </w:r>
      <w:bookmarkStart w:id="0" w:name="_GoBack"/>
      <w:bookmarkEnd w:id="0"/>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1.联网联控系统考核表（道路运输管理机构）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2.联网联控系统考核表（道路运输企业）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3.联网联控系统考核表（服务商）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交通运输部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2016年9月5日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ascii="黑体" w:hAnsi="宋体" w:eastAsia="黑体" w:cs="黑体"/>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全国重点营运车辆联网联控系统考核管理办法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第一条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为加强和规范全国重点营运车辆动态监管工作，提升监控数据质量，保障联网联控系统稳定可靠运行，促进道路运输企业动态监控主体责任落实，依据《中华人民共和国安全生产法》《道路运输车辆动态监督管理办法》（交通运输部、公安部、国家安全监管总局2016年令第55号），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第二条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本办法所称重点营运车辆是指旅游客车、包车客车、三类以上班线客车和危险货物运输车辆。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本办法所称全国重点营运车辆联网联控系统（以下简称联网联控系统）是指由各级道路运输管理机构和相关企业建立的依托卫星定位系统技术的营运车辆动态监管、监控体系,包括全国道路运输车辆动态信息公共服务平台（以下简称部级平台）、地方道路运输管理机构（省级、地市级、县级）监管平台、道路运输企业监控平台、社会化监控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联网联控系统各级各类平台的考核管理应遵守本办法。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第二章 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第三条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交通运输部负责部级平台运行维护工作的监督检查，负责省级监管平台考核管理工作。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第四条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中国交通通信信息中心负责部级平台的运行、维护及省级监管平台考核指标的统计分析工作。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第五条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地方各级道路运输管理机构负责组织辖区联网联控系统的考核管理工作，组织实施下级监管平台和接入的监控平台（包括道路运输企业监控平台、社会化监控平台）的考核管理，负责本级监管平台的运行和维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第三章 考核内容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第六条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联网联控系统考核对象包括道路运输管理机构、道路运输企业、社会化动态监控服务商（以下简称服务商）。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第七条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联网联控系统考核指标包括：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（一）平台连通率：统计期内，下级平台与上级平台之间保持正常数据传输的时间总和占统计期间总时长的比率；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（二）跨域数据交换成功率：统计期内，省级平台应答部级平台交换请求的数量占部向各省下发跨域交换请求的总数量的比率；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（三）车辆入网率：截至某一统计时点，至少向上级平台传输一次合格动态数据的重点营运车辆数占本辖区内或本企业重点营运车辆总数的比率；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（四）车辆上线率：统计期内，至少向上级平台传输一次合格动态数据的重点营运车辆数占本辖区或本企业（含服务商）处于营运状态且已入网的重点营运车辆数的比率；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（五）轨迹完整率：统计期内，重点营运车辆完整轨迹与本辖区或本企业（含服务商）上线重点营运车辆轨迹的比率。轨迹完整是指轨迹点连续；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六）数据合格率：统计期内，下级平台上传的合格数据条数占上传数据总条数的比率。合格数据包括车牌号、车牌颜色、时间、经度、纬度、定位速度、行驶记录速度、方向、海拔、车辆状态、报警状态等符合《道路运输车辆卫星定位系统平台数据交换》（JT/T 809）相关信息数据体结构规则，且在合理范围内的车辆动态数据；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（七）卫星定位漂移车辆率：统计期内，车辆定位数据存在高频度远距离漂移车辆总数占本辖区或本企业（含服务商）重点营运车辆上线总数的比率；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（八）平台查岗响应率：统计期内，监管平台不定期向监控平台下发查岗指令，监控人员在收到查岗指令后及时响应，查岗响应次数占查岗次数的比率。查岗响应时间超过15分钟的不计入查岗响应次数；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（九）平均车辆超速次数：统计期内，重点营运车辆的超速总次数除以本辖区或本企业上线的重点营运车辆数；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（十）平均疲劳驾驶时长：统计期内，重点营运车辆的疲劳驾驶总时长除以本辖区或本企业上线的重点营运车辆数。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第八条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对道路运输管理机构的考核内容包括：平台连通率、跨域数据交换成功率（省级平台考核）、车辆入网率、车辆上线率、轨迹完整率、数据合格率。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第九条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对道路运输企业的考核内容包括：车辆入网率、车辆上线率、轨迹完整率、数据合格率、卫星定位漂移车辆率、平均车辆超速次数、平均疲劳驾驶时长、平台查岗响应率。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对服务商的考核内容包括：平台连通率、车辆上线率、轨迹完整率、数据合格率、卫星定位漂移车辆率。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第四章 考核程序及考核结果应用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第十一条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考核周期分为月度、年度，月度考核按自然月进行，年度考核周期为每年1月1日至12月31日，全年月度考核的平均值为年度考核评分。考核采取系统自动统计分析为主、现场情况勘察为辅的形式。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第十二条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考核实行计分制，满分100分， 60分为合格。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第十三条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道路运输企业、服务商有下列情形之一的，年度考核记为不合格：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（一）使用不符合标准规范要求的监控平台或车载终端的；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（二）伪造、篡改、删除车辆动态监控数据的；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（三）设置技术壁垒，阻碍车辆正常转网的；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（四）一年内累计三个月及以上考核不合格的；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（五）其他严重违反动态监控规章制度的。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第十四条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考核结果应当公示，公示期为5个工作日。公示期内，被考核单位对考核结果有异议，可向考核单位申诉，由考核单位进行核查；考核结果有误的，应及时更正。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第十五条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省级道路运输管理机构对地市级道路运输管理机构考核结果应当予以通报，并抄送各地市交通运输主管部门。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对道路运输企业、服务商的考核结果由负责其考核管理的道路运输管理机构予以公告。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第十六条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道路运输管理机构考核结果应作为单位评优、年度目标考核的依据。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第十七条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道路运输企业考核结果信息纳入企业质量信誉考核和安全评估的内容，作为道路运输企业线路招标和新增运力等业务管理的重要依据。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考核不合格的道路运输企业纳入重点安全监管对象，依法责令整改。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第十八条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对考核不合格的服务商，依法责令整改，整改期不少于考核期。整改期内，道路运输企业不得将其车辆接入考核不合格服务商的监控平台（已接入平台的车辆除外）。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第十九条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各省、自治区、直辖市交通运输主管部门可结合本办法及实际情况制定实施细则。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第二十条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本办法由交通运输部负责解释。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000000" w:themeColor="text1"/>
          <w:sz w:val="31"/>
          <w:szCs w:val="31"/>
          <w14:textFill>
            <w14:solidFill>
              <w14:schemeClr w14:val="tx1"/>
            </w14:solidFill>
          </w14:textFill>
        </w:rPr>
      </w:pPr>
      <w:r>
        <w:rPr>
          <w:rFonts w:hint="eastAsia" w:ascii="黑体" w:hAnsi="宋体" w:eastAsia="黑体" w:cs="黑体"/>
          <w:i w:val="0"/>
          <w:iCs w:val="0"/>
          <w:caps w:val="0"/>
          <w:color w:val="000000" w:themeColor="text1"/>
          <w:spacing w:val="0"/>
          <w:sz w:val="31"/>
          <w:szCs w:val="31"/>
          <w:bdr w:val="none" w:color="auto" w:sz="0" w:space="0"/>
          <w:shd w:val="clear" w:fill="FFFFFF"/>
          <w14:textFill>
            <w14:solidFill>
              <w14:schemeClr w14:val="tx1"/>
            </w14:solidFill>
          </w14:textFill>
        </w:rPr>
        <w:t>第二十一条</w:t>
      </w:r>
      <w:r>
        <w:rPr>
          <w:rFonts w:hint="eastAsia" w:ascii="仿宋" w:hAnsi="仿宋" w:eastAsia="仿宋" w:cs="仿宋"/>
          <w:i w:val="0"/>
          <w:iCs w:val="0"/>
          <w:caps w:val="0"/>
          <w:color w:val="000000" w:themeColor="text1"/>
          <w:spacing w:val="0"/>
          <w:sz w:val="31"/>
          <w:szCs w:val="31"/>
          <w:bdr w:val="none" w:color="auto" w:sz="0" w:space="0"/>
          <w:shd w:val="clear" w:fill="FFFFFF"/>
          <w:lang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1"/>
          <w:szCs w:val="31"/>
          <w:bdr w:val="none" w:color="auto" w:sz="0" w:space="0"/>
          <w:shd w:val="clear" w:fill="FFFFFF"/>
          <w14:textFill>
            <w14:solidFill>
              <w14:schemeClr w14:val="tx1"/>
            </w14:solidFill>
          </w14:textFill>
        </w:rPr>
        <w:t>本办法自2016年10月1日起施行，有效期5年，原《全国重点营运车辆联网联控系统考核管理办法》（交运发〔2014〕267号）同时废止。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00" w:afterAutospacing="0"/>
        <w:ind w:left="0" w:right="1350"/>
        <w:rPr>
          <w:rFonts w:ascii="方正小标宋简体" w:hAnsi="方正小标宋简体" w:eastAsia="方正小标宋简体" w:cs="方正小标宋简体"/>
          <w:color w:val="000000" w:themeColor="text1"/>
          <w:sz w:val="42"/>
          <w:szCs w:val="42"/>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2"/>
          <w:szCs w:val="42"/>
          <w:bdr w:val="none" w:color="auto" w:sz="0" w:space="0"/>
          <w:shd w:val="clear" w:fill="FFFFFF"/>
          <w14:textFill>
            <w14:solidFill>
              <w14:schemeClr w14:val="tx1"/>
            </w14:solidFill>
          </w14:textFill>
        </w:rPr>
        <w:t>中华人民共和国交通运输部发布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rPr>
          <w:rFonts w:hint="eastAsia" w:ascii="仿宋" w:hAnsi="仿宋" w:eastAsia="仿宋" w:cs="仿宋"/>
          <w:b/>
          <w:bCs/>
          <w:color w:val="000000" w:themeColor="text1"/>
          <w:sz w:val="27"/>
          <w:szCs w:val="27"/>
          <w14:textFill>
            <w14:solidFill>
              <w14:schemeClr w14:val="tx1"/>
            </w14:solidFill>
          </w14:textFill>
        </w:rPr>
      </w:pPr>
      <w:r>
        <w:rPr>
          <w:rFonts w:hint="eastAsia" w:ascii="仿宋" w:hAnsi="仿宋" w:eastAsia="仿宋" w:cs="仿宋"/>
          <w:b/>
          <w:bCs/>
          <w:i w:val="0"/>
          <w:iCs w:val="0"/>
          <w:caps w:val="0"/>
          <w:color w:val="000000" w:themeColor="text1"/>
          <w:spacing w:val="0"/>
          <w:sz w:val="27"/>
          <w:szCs w:val="27"/>
          <w:bdr w:val="none" w:color="auto" w:sz="0" w:space="0"/>
          <w:shd w:val="clear" w:fill="FFFFFF"/>
          <w14:textFill>
            <w14:solidFill>
              <w14:schemeClr w14:val="tx1"/>
            </w14:solidFill>
          </w14:textFill>
        </w:rPr>
        <w:t>附件下载：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pP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begin"/>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instrText xml:space="preserve"> HYPERLINK "https://xxgk.mot.gov.cn/2020/xzgfxwj/202304/P020230406520576613770.docx" </w:instrText>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 w:hAnsi="仿宋" w:eastAsia="仿宋" w:cs="仿宋"/>
          <w:i w:val="0"/>
          <w:iCs w:val="0"/>
          <w:caps w:val="0"/>
          <w:color w:val="000000" w:themeColor="text1"/>
          <w:spacing w:val="0"/>
          <w:sz w:val="27"/>
          <w:szCs w:val="27"/>
          <w:u w:val="none"/>
          <w:shd w:val="clear" w:fill="FFFFFF"/>
          <w14:textFill>
            <w14:solidFill>
              <w14:schemeClr w14:val="tx1"/>
            </w14:solidFill>
          </w14:textFill>
        </w:rPr>
        <w:t>附件1：联网联控系统考核表（道路运输管理机构）.docx</w:t>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pP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begin"/>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instrText xml:space="preserve"> HYPERLINK "https://xxgk.mot.gov.cn/2020/xzgfxwj/202304/P020230406520576735087.docx" </w:instrText>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 w:hAnsi="仿宋" w:eastAsia="仿宋" w:cs="仿宋"/>
          <w:i w:val="0"/>
          <w:iCs w:val="0"/>
          <w:caps w:val="0"/>
          <w:color w:val="000000" w:themeColor="text1"/>
          <w:spacing w:val="0"/>
          <w:sz w:val="27"/>
          <w:szCs w:val="27"/>
          <w:u w:val="none"/>
          <w:shd w:val="clear" w:fill="FFFFFF"/>
          <w14:textFill>
            <w14:solidFill>
              <w14:schemeClr w14:val="tx1"/>
            </w14:solidFill>
          </w14:textFill>
        </w:rPr>
        <w:t>附件2：联网联控系统考核表（道路运输企业）.docx</w:t>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begin"/>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instrText xml:space="preserve"> HYPERLINK "https://xxgk.mot.gov.cn/2020/xzgfxwj/202304/P020230406520576846179.docx" </w:instrText>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 w:hAnsi="仿宋" w:eastAsia="仿宋" w:cs="仿宋"/>
          <w:i w:val="0"/>
          <w:iCs w:val="0"/>
          <w:caps w:val="0"/>
          <w:color w:val="000000" w:themeColor="text1"/>
          <w:spacing w:val="0"/>
          <w:sz w:val="27"/>
          <w:szCs w:val="27"/>
          <w:u w:val="none"/>
          <w:shd w:val="clear" w:fill="FFFFFF"/>
          <w14:textFill>
            <w14:solidFill>
              <w14:schemeClr w14:val="tx1"/>
            </w14:solidFill>
          </w14:textFill>
        </w:rPr>
        <w:t>附件3：联网联控系统考核表（服务商）.docx</w:t>
      </w:r>
      <w:r>
        <w:rPr>
          <w:rFonts w:hint="eastAsia" w:ascii="仿宋" w:hAnsi="仿宋" w:eastAsia="仿宋" w:cs="仿宋"/>
          <w:i w:val="0"/>
          <w:iCs w:val="0"/>
          <w:caps w:val="0"/>
          <w:snapToGrid w:val="0"/>
          <w:color w:val="000000" w:themeColor="text1"/>
          <w:spacing w:val="0"/>
          <w:kern w:val="0"/>
          <w:sz w:val="27"/>
          <w:szCs w:val="27"/>
          <w:u w:val="none"/>
          <w:bdr w:val="none" w:color="auto" w:sz="0" w:space="0"/>
          <w:shd w:val="clear" w:fill="FFFFFF"/>
          <w:lang w:val="en-US" w:eastAsia="zh-CN" w:bidi="ar"/>
          <w14:textFill>
            <w14:solidFill>
              <w14:schemeClr w14:val="tx1"/>
            </w14:solidFill>
          </w14:textFill>
        </w:rPr>
        <w:fldChar w:fldCharType="end"/>
      </w:r>
    </w:p>
    <w:p>
      <w:pPr>
        <w:keepNext w:val="0"/>
        <w:keepLines w:val="0"/>
        <w:widowControl/>
        <w:suppressLineNumbers w:val="0"/>
        <w:pBdr>
          <w:top w:val="single" w:color="527EC6" w:sz="12" w:space="22"/>
          <w:left w:val="none" w:color="auto" w:sz="0" w:space="0"/>
          <w:bottom w:val="none" w:color="auto" w:sz="0" w:space="0"/>
          <w:right w:val="none" w:color="auto" w:sz="0" w:space="0"/>
        </w:pBdr>
        <w:shd w:val="clear" w:fill="FFFFFF"/>
        <w:spacing w:before="450" w:beforeAutospacing="0"/>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附件</w:t>
      </w:r>
      <w:r>
        <w:rPr>
          <w:b/>
          <w:color w:val="000000" w:themeColor="text1"/>
          <w14:textFill>
            <w14:solidFill>
              <w14:schemeClr w14:val="tx1"/>
            </w14:solidFill>
          </w14:textFill>
        </w:rPr>
        <w:t>1</w:t>
      </w:r>
    </w:p>
    <w:p>
      <w:pPr>
        <w:spacing w:line="360" w:lineRule="auto"/>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联网联控系统考核表（道路运输管理机构）</w:t>
      </w:r>
    </w:p>
    <w:tbl>
      <w:tblPr>
        <w:tblStyle w:val="4"/>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847"/>
        <w:gridCol w:w="1130"/>
        <w:gridCol w:w="340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考核对象</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考核内容</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分值</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计分标准</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管理部门监管平台</w:t>
            </w:r>
          </w:p>
        </w:tc>
        <w:tc>
          <w:tcPr>
            <w:tcW w:w="18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车辆入网率</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5</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入网率*5；</w:t>
            </w:r>
          </w:p>
        </w:tc>
        <w:tc>
          <w:tcPr>
            <w:tcW w:w="88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低于90%不得分。</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车辆上线率</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10</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上线率*10。</w:t>
            </w:r>
          </w:p>
        </w:tc>
        <w:tc>
          <w:tcPr>
            <w:tcW w:w="88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平台连通率</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15</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平台连通率*15；</w:t>
            </w:r>
          </w:p>
        </w:tc>
        <w:tc>
          <w:tcPr>
            <w:tcW w:w="88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低于90%不得分。</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轨迹完整率</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30</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轨迹完整率*30；</w:t>
            </w:r>
          </w:p>
        </w:tc>
        <w:tc>
          <w:tcPr>
            <w:tcW w:w="88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低于70%不得分。</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数据合格率</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30</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数据合格率*30；</w:t>
            </w:r>
          </w:p>
        </w:tc>
        <w:tc>
          <w:tcPr>
            <w:tcW w:w="88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低于80%不得分。</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跨域数据交换成功率</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10</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跨域数据交换成功率*10。</w:t>
            </w:r>
          </w:p>
        </w:tc>
        <w:tc>
          <w:tcPr>
            <w:tcW w:w="88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8700" w:type="dxa"/>
            <w:gridSpan w:val="5"/>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注：</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①因上级监管平台或网络运营商等情况造成断线并提前报备的，不计为断线时长；</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②平台上传的车</w:t>
            </w:r>
            <w:r>
              <w:rPr>
                <w:rFonts w:hint="eastAsia" w:ascii="仿宋" w:hAnsi="仿宋" w:eastAsia="仿宋" w:cs="宋体"/>
                <w:color w:val="000000" w:themeColor="text1"/>
                <w:kern w:val="0"/>
                <w:szCs w:val="28"/>
                <w14:textFill>
                  <w14:solidFill>
                    <w14:schemeClr w14:val="tx1"/>
                  </w14:solidFill>
                </w14:textFill>
              </w:rPr>
              <w:t>辆数据存在车牌号、车牌颜色、日期时间、经度、纬度、速度、方向、海拔、车辆状态、报警状态等错误信息的，数据判断为不合格。具体参照《JT/T 809-2011》4.5.8相关信息数据体结构之规则；</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③数据合理参考范围：日期时间：≤当前时间；经度范围：73°33′E至135°05′E；纬度范围：3°51′N至53°33′N；速度：0至160间；海拔：-200至6500之间；</w:t>
            </w:r>
          </w:p>
          <w:p>
            <w:pPr>
              <w:widowControl/>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④各省可结合地方实际情况优化考核内容及分值。</w:t>
            </w:r>
          </w:p>
        </w:tc>
      </w:tr>
    </w:tbl>
    <w:p>
      <w:pPr>
        <w:spacing w:line="360" w:lineRule="auto"/>
        <w:rPr>
          <w:b/>
          <w:color w:val="000000" w:themeColor="text1"/>
          <w14:textFill>
            <w14:solidFill>
              <w14:schemeClr w14:val="tx1"/>
            </w14:solidFill>
          </w14:textFill>
        </w:rPr>
      </w:pPr>
    </w:p>
    <w:p>
      <w:pPr>
        <w:widowControl/>
        <w:jc w:val="left"/>
        <w:rPr>
          <w:rFonts w:ascii="仿宋" w:hAnsi="仿宋" w:eastAsia="仿宋" w:cs="宋体"/>
          <w:color w:val="000000" w:themeColor="text1"/>
          <w:kern w:val="0"/>
          <w:szCs w:val="28"/>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附件</w:t>
      </w:r>
      <w:r>
        <w:rPr>
          <w:b/>
          <w:color w:val="000000" w:themeColor="text1"/>
          <w14:textFill>
            <w14:solidFill>
              <w14:schemeClr w14:val="tx1"/>
            </w14:solidFill>
          </w14:textFill>
        </w:rPr>
        <w:t>2</w:t>
      </w:r>
    </w:p>
    <w:p>
      <w:pPr>
        <w:spacing w:line="360"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联网联控系统考核表（道路运输企业）</w:t>
      </w:r>
    </w:p>
    <w:tbl>
      <w:tblPr>
        <w:tblStyle w:val="4"/>
        <w:tblW w:w="9000" w:type="dxa"/>
        <w:jc w:val="center"/>
        <w:tblLayout w:type="fixed"/>
        <w:tblCellMar>
          <w:top w:w="0" w:type="dxa"/>
          <w:left w:w="108" w:type="dxa"/>
          <w:bottom w:w="0" w:type="dxa"/>
          <w:right w:w="108" w:type="dxa"/>
        </w:tblCellMar>
      </w:tblPr>
      <w:tblGrid>
        <w:gridCol w:w="1574"/>
        <w:gridCol w:w="1842"/>
        <w:gridCol w:w="993"/>
        <w:gridCol w:w="3542"/>
        <w:gridCol w:w="1049"/>
      </w:tblGrid>
      <w:tr>
        <w:tblPrEx>
          <w:tblCellMar>
            <w:top w:w="0" w:type="dxa"/>
            <w:left w:w="108" w:type="dxa"/>
            <w:bottom w:w="0" w:type="dxa"/>
            <w:right w:w="108" w:type="dxa"/>
          </w:tblCellMar>
        </w:tblPrEx>
        <w:trPr>
          <w:trHeight w:val="623"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考核对象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考核内容</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分值</w:t>
            </w:r>
          </w:p>
        </w:tc>
        <w:tc>
          <w:tcPr>
            <w:tcW w:w="3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计分标准</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得分</w:t>
            </w:r>
          </w:p>
        </w:tc>
      </w:tr>
      <w:tr>
        <w:tblPrEx>
          <w:tblCellMar>
            <w:top w:w="0" w:type="dxa"/>
            <w:left w:w="108" w:type="dxa"/>
            <w:bottom w:w="0" w:type="dxa"/>
            <w:right w:w="108" w:type="dxa"/>
          </w:tblCellMar>
        </w:tblPrEx>
        <w:trPr>
          <w:trHeight w:val="561" w:hRule="atLeast"/>
          <w:jc w:val="center"/>
        </w:trPr>
        <w:tc>
          <w:tcPr>
            <w:tcW w:w="1574" w:type="dxa"/>
            <w:vMerge w:val="restart"/>
            <w:tcBorders>
              <w:top w:val="single" w:color="auto" w:sz="4" w:space="0"/>
              <w:left w:val="single" w:color="auto" w:sz="4" w:space="0"/>
              <w:bottom w:val="nil"/>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道路运输企业</w:t>
            </w:r>
          </w:p>
        </w:tc>
        <w:tc>
          <w:tcPr>
            <w:tcW w:w="184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车辆入网率</w:t>
            </w:r>
          </w:p>
        </w:tc>
        <w:tc>
          <w:tcPr>
            <w:tcW w:w="993" w:type="dxa"/>
            <w:vMerge w:val="restart"/>
            <w:tcBorders>
              <w:top w:val="nil"/>
              <w:left w:val="single" w:color="auto" w:sz="4" w:space="0"/>
              <w:bottom w:val="single" w:color="000000" w:sz="4" w:space="0"/>
              <w:right w:val="single" w:color="000000"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5</w:t>
            </w: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入网率*5；</w:t>
            </w:r>
          </w:p>
        </w:tc>
        <w:tc>
          <w:tcPr>
            <w:tcW w:w="1049"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360" w:lineRule="auto"/>
              <w:jc w:val="center"/>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201"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nil"/>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低于90%不得分。</w:t>
            </w:r>
          </w:p>
        </w:tc>
        <w:tc>
          <w:tcPr>
            <w:tcW w:w="104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350"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车辆上线率</w:t>
            </w:r>
          </w:p>
        </w:tc>
        <w:tc>
          <w:tcPr>
            <w:tcW w:w="99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5</w:t>
            </w:r>
          </w:p>
        </w:tc>
        <w:tc>
          <w:tcPr>
            <w:tcW w:w="3542" w:type="dxa"/>
            <w:tcBorders>
              <w:top w:val="nil"/>
              <w:left w:val="nil"/>
              <w:bottom w:val="nil"/>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上线率*5。</w:t>
            </w:r>
          </w:p>
        </w:tc>
        <w:tc>
          <w:tcPr>
            <w:tcW w:w="1049"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轨迹完整率</w:t>
            </w: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15</w:t>
            </w:r>
          </w:p>
        </w:tc>
        <w:tc>
          <w:tcPr>
            <w:tcW w:w="3542" w:type="dxa"/>
            <w:tcBorders>
              <w:top w:val="single" w:color="auto" w:sz="4" w:space="0"/>
              <w:left w:val="nil"/>
              <w:bottom w:val="nil"/>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轨迹完整率*15；</w:t>
            </w:r>
          </w:p>
        </w:tc>
        <w:tc>
          <w:tcPr>
            <w:tcW w:w="1049"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360" w:lineRule="auto"/>
              <w:jc w:val="center"/>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239"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single" w:color="auto" w:sz="4" w:space="0"/>
              <w:left w:val="nil"/>
              <w:bottom w:val="nil"/>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低于70%不得分。</w:t>
            </w:r>
          </w:p>
        </w:tc>
        <w:tc>
          <w:tcPr>
            <w:tcW w:w="104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247"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数据合格率</w:t>
            </w:r>
          </w:p>
        </w:tc>
        <w:tc>
          <w:tcPr>
            <w:tcW w:w="993" w:type="dxa"/>
            <w:vMerge w:val="restart"/>
            <w:tcBorders>
              <w:top w:val="nil"/>
              <w:left w:val="single" w:color="auto" w:sz="4" w:space="0"/>
              <w:bottom w:val="single" w:color="000000" w:sz="4" w:space="0"/>
              <w:right w:val="single" w:color="000000"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15</w:t>
            </w: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数据合格率*15；</w:t>
            </w:r>
          </w:p>
        </w:tc>
        <w:tc>
          <w:tcPr>
            <w:tcW w:w="1049"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360" w:lineRule="auto"/>
              <w:jc w:val="center"/>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nil"/>
              <w:left w:val="single" w:color="auto" w:sz="4" w:space="0"/>
              <w:bottom w:val="single" w:color="000000" w:sz="4" w:space="0"/>
              <w:right w:val="single" w:color="000000"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低于80%不得分。</w:t>
            </w:r>
          </w:p>
        </w:tc>
        <w:tc>
          <w:tcPr>
            <w:tcW w:w="104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494"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卫星定位</w:t>
            </w:r>
          </w:p>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漂移车辆率</w:t>
            </w:r>
          </w:p>
        </w:tc>
        <w:tc>
          <w:tcPr>
            <w:tcW w:w="9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10</w:t>
            </w:r>
          </w:p>
        </w:tc>
        <w:tc>
          <w:tcPr>
            <w:tcW w:w="354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10-卫星定位漂移车辆率*10；</w:t>
            </w:r>
          </w:p>
        </w:tc>
        <w:tc>
          <w:tcPr>
            <w:tcW w:w="1049"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360" w:lineRule="auto"/>
              <w:jc w:val="center"/>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449"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高于5%不得分。</w:t>
            </w:r>
          </w:p>
        </w:tc>
        <w:tc>
          <w:tcPr>
            <w:tcW w:w="104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70"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restar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平均车辆</w:t>
            </w:r>
          </w:p>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超速次数</w:t>
            </w:r>
          </w:p>
        </w:tc>
        <w:tc>
          <w:tcPr>
            <w:tcW w:w="993" w:type="dxa"/>
            <w:vMerge w:val="restar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20</w:t>
            </w:r>
          </w:p>
        </w:tc>
        <w:tc>
          <w:tcPr>
            <w:tcW w:w="354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小于等于区域平均车辆超速次数的，10+〔（区域平均车辆超速次数-企业平均超速次数）/区域平均车辆超速次数〕*10；</w:t>
            </w:r>
          </w:p>
        </w:tc>
        <w:tc>
          <w:tcPr>
            <w:tcW w:w="1049" w:type="dxa"/>
            <w:vMerge w:val="restart"/>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高于区域平均车辆超速次数且小于区域平均车辆超速次数2倍的，〔（区域平均车辆超速次数*2-企业平均超速次数）/区域平均车辆超速次数〕*10；</w:t>
            </w:r>
          </w:p>
        </w:tc>
        <w:tc>
          <w:tcPr>
            <w:tcW w:w="1049"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大于等于区域平均车辆超速次数2倍的，不得分。</w:t>
            </w:r>
          </w:p>
        </w:tc>
        <w:tc>
          <w:tcPr>
            <w:tcW w:w="1049"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203"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restar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平均疲劳驾驶时长</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20</w:t>
            </w:r>
          </w:p>
        </w:tc>
        <w:tc>
          <w:tcPr>
            <w:tcW w:w="3542" w:type="dxa"/>
            <w:tcBorders>
              <w:top w:val="single" w:color="auto" w:sz="4" w:space="0"/>
              <w:left w:val="single" w:color="auto" w:sz="4" w:space="0"/>
              <w:bottom w:val="nil"/>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小于等于区域平均车辆超疲劳驾驶时长的，10+〔（区域平均车辆疲劳驾驶时长-企业平均疲劳驾驶时长）/区域平均车辆疲劳驾驶时长〕*10；</w:t>
            </w:r>
          </w:p>
        </w:tc>
        <w:tc>
          <w:tcPr>
            <w:tcW w:w="104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353"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高于区域平均车辆疲劳驾驶时长且小于区域平均车辆疲劳驾驶时长2倍的，〔（区域平均车辆疲劳驾驶时长*2-企业平均疲劳驾驶时长）/区域平均车辆疲劳驾驶时长〕*10；</w:t>
            </w:r>
          </w:p>
        </w:tc>
        <w:tc>
          <w:tcPr>
            <w:tcW w:w="104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353"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35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大于等于区域平均车辆疲劳驾驶时长2倍的，不得分。</w:t>
            </w:r>
          </w:p>
        </w:tc>
        <w:tc>
          <w:tcPr>
            <w:tcW w:w="104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p>
        </w:tc>
      </w:tr>
      <w:tr>
        <w:tblPrEx>
          <w:tblCellMar>
            <w:top w:w="0" w:type="dxa"/>
            <w:left w:w="108" w:type="dxa"/>
            <w:bottom w:w="0" w:type="dxa"/>
            <w:right w:w="108" w:type="dxa"/>
          </w:tblCellMar>
        </w:tblPrEx>
        <w:trPr>
          <w:trHeight w:val="361" w:hRule="atLeast"/>
          <w:jc w:val="center"/>
        </w:trPr>
        <w:tc>
          <w:tcPr>
            <w:tcW w:w="157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平台查岗响应率</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10</w:t>
            </w:r>
          </w:p>
        </w:tc>
        <w:tc>
          <w:tcPr>
            <w:tcW w:w="354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平台查岗响应率*10。</w:t>
            </w:r>
          </w:p>
        </w:tc>
        <w:tc>
          <w:tcPr>
            <w:tcW w:w="1049"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160" w:hRule="atLeast"/>
          <w:jc w:val="center"/>
        </w:trPr>
        <w:tc>
          <w:tcPr>
            <w:tcW w:w="9000" w:type="dxa"/>
            <w:gridSpan w:val="5"/>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注：</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①平台上传的车辆数据存在车牌号、车牌颜色、日期时间、经度、纬度、速度、方向、海拔、车辆状态、报警状态等错误信息的，数据判断为不合格。具体参照《JT/T 809-2011》4.5.8相关信息数据体结构之规则；</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②超速及次数界定：连续超速时间超过30秒的计为超速，1分钟内连续多次上报超速次数计为1次超速；</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③疲劳驾驶时长界定：白天超过4小时、夜间超过2小时未停车的计为疲劳驾驶时长；</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④数据合理参考范围：日期时间：≤当前时间；经度范围：73°33′E至135°05′E；纬度范围：3°51′N至53°33′N；速度：0至160间；海拔：-200至6500之间；</w:t>
            </w:r>
          </w:p>
          <w:p>
            <w:pPr>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④各省可结合地方实际情况优化考核内容及分值。</w:t>
            </w:r>
          </w:p>
        </w:tc>
      </w:tr>
    </w:tbl>
    <w:p>
      <w:pPr>
        <w:widowControl/>
        <w:jc w:val="left"/>
        <w:rPr>
          <w:rFonts w:ascii="仿宋" w:hAnsi="仿宋" w:eastAsia="仿宋" w:cs="宋体"/>
          <w:color w:val="000000" w:themeColor="text1"/>
          <w:kern w:val="0"/>
          <w:szCs w:val="28"/>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附件</w:t>
      </w:r>
      <w:r>
        <w:rPr>
          <w:b/>
          <w:color w:val="000000" w:themeColor="text1"/>
          <w14:textFill>
            <w14:solidFill>
              <w14:schemeClr w14:val="tx1"/>
            </w14:solidFill>
          </w14:textFill>
        </w:rPr>
        <w:t>3</w:t>
      </w:r>
    </w:p>
    <w:p>
      <w:pPr>
        <w:spacing w:line="360"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联网联控系统考核表（服务商）</w:t>
      </w:r>
    </w:p>
    <w:tbl>
      <w:tblPr>
        <w:tblStyle w:val="4"/>
        <w:tblW w:w="91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701"/>
        <w:gridCol w:w="1275"/>
        <w:gridCol w:w="2977"/>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考核对象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考核内容</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分值</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计分标准</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Cs w:val="28"/>
                <w14:textFill>
                  <w14:solidFill>
                    <w14:schemeClr w14:val="tx1"/>
                  </w14:solidFill>
                </w14:textFill>
              </w:rPr>
            </w:pPr>
            <w:r>
              <w:rPr>
                <w:rFonts w:hint="eastAsia" w:ascii="仿宋" w:hAnsi="仿宋" w:eastAsia="仿宋" w:cs="宋体"/>
                <w:b/>
                <w:bCs/>
                <w:color w:val="000000" w:themeColor="text1"/>
                <w:kern w:val="0"/>
                <w:szCs w:val="28"/>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社会化</w:t>
            </w:r>
          </w:p>
          <w:p>
            <w:pPr>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监控平台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车辆上线率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10</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车辆上线率*10。</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平台连通率</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20</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平台连通率*20；</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低于90%不得分。</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轨迹完整率</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25</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轨迹完整率*25；</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低于70%不得分。</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数据合格率</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25</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数据合格率*25；</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低于80%不得分。</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卫星定位漂移车辆率</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20</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20-卫星定位漂移车辆率*20；</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高于5%不得分。</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144" w:type="dxa"/>
            <w:gridSpan w:val="5"/>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注：</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①因管理部门监管平台或网络运营商等情况造成断线并报备的，不计为断线时长；</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②平台上传的车辆数据存在车牌号、车牌颜色、日期时间、经度、纬度、速度、方向、海拔、车辆状态、报警状态等错误信息的，数据判断为不合格。具体参照《JT/T 809-2011》4.5.8相关信息数据体结构之规则；</w:t>
            </w:r>
          </w:p>
          <w:p>
            <w:pPr>
              <w:widowControl/>
              <w:jc w:val="left"/>
              <w:rPr>
                <w:rFonts w:hint="eastAsia"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③数据合理参考范围：日期时间：≤当前时间；经度范围：73°33′E至135°05′E；纬度范围：3°51′N至53°33′N；速度：0至160间；海拔：-200至6500之间；</w:t>
            </w:r>
          </w:p>
          <w:p>
            <w:pPr>
              <w:widowControl/>
              <w:jc w:val="left"/>
              <w:rPr>
                <w:rFonts w:ascii="仿宋" w:hAnsi="仿宋" w:eastAsia="仿宋" w:cs="宋体"/>
                <w:color w:val="000000" w:themeColor="text1"/>
                <w:kern w:val="0"/>
                <w:szCs w:val="28"/>
                <w14:textFill>
                  <w14:solidFill>
                    <w14:schemeClr w14:val="tx1"/>
                  </w14:solidFill>
                </w14:textFill>
              </w:rPr>
            </w:pPr>
            <w:r>
              <w:rPr>
                <w:rFonts w:hint="eastAsia" w:ascii="仿宋" w:hAnsi="仿宋" w:eastAsia="仿宋" w:cs="宋体"/>
                <w:color w:val="000000" w:themeColor="text1"/>
                <w:kern w:val="0"/>
                <w:szCs w:val="28"/>
                <w14:textFill>
                  <w14:solidFill>
                    <w14:schemeClr w14:val="tx1"/>
                  </w14:solidFill>
                </w14:textFill>
              </w:rPr>
              <w:t>④各省可结合地方实际情况优化考核内容及分值。</w:t>
            </w:r>
          </w:p>
        </w:tc>
      </w:tr>
    </w:tbl>
    <w:p>
      <w:pPr>
        <w:widowControl/>
        <w:jc w:val="left"/>
        <w:rPr>
          <w:rFonts w:ascii="仿宋" w:hAnsi="仿宋" w:eastAsia="仿宋" w:cs="宋体"/>
          <w:color w:val="000000" w:themeColor="text1"/>
          <w:kern w:val="0"/>
          <w:szCs w:val="28"/>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C69C0E-AD62-4202-A345-2059DB5149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AEF76C5-8273-4D17-86DD-21193EC06ACC}"/>
  </w:font>
  <w:font w:name="仿宋">
    <w:panose1 w:val="02010609060101010101"/>
    <w:charset w:val="86"/>
    <w:family w:val="auto"/>
    <w:pitch w:val="default"/>
    <w:sig w:usb0="800002BF" w:usb1="38CF7CFA" w:usb2="00000016" w:usb3="00000000" w:csb0="00040001" w:csb1="00000000"/>
    <w:embedRegular r:id="rId3" w:fontKey="{34F2619B-E13C-4B28-99CD-257879AA8CE5}"/>
  </w:font>
  <w:font w:name="方正小标宋简体">
    <w:panose1 w:val="02000000000000000000"/>
    <w:charset w:val="86"/>
    <w:family w:val="auto"/>
    <w:pitch w:val="default"/>
    <w:sig w:usb0="00000001" w:usb1="08000000" w:usb2="00000000" w:usb3="00000000" w:csb0="00040000" w:csb1="00000000"/>
    <w:embedRegular r:id="rId4" w:fontKey="{B7186551-A4DD-41A5-8BB4-2AE85B64996C}"/>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01DB1C83"/>
    <w:rsid w:val="02820350"/>
    <w:rsid w:val="06E96BF0"/>
    <w:rsid w:val="09D45935"/>
    <w:rsid w:val="148E0DD7"/>
    <w:rsid w:val="153B51D1"/>
    <w:rsid w:val="16E66CA8"/>
    <w:rsid w:val="16F413C5"/>
    <w:rsid w:val="18E216F1"/>
    <w:rsid w:val="19297320"/>
    <w:rsid w:val="1B8F790E"/>
    <w:rsid w:val="1E0D0FBE"/>
    <w:rsid w:val="1EE53CE9"/>
    <w:rsid w:val="1FE43FA1"/>
    <w:rsid w:val="216B6728"/>
    <w:rsid w:val="22EF5136"/>
    <w:rsid w:val="240E783E"/>
    <w:rsid w:val="25781413"/>
    <w:rsid w:val="26D0702D"/>
    <w:rsid w:val="2A5A71A5"/>
    <w:rsid w:val="2E450300"/>
    <w:rsid w:val="2EBD433B"/>
    <w:rsid w:val="2F990904"/>
    <w:rsid w:val="34A22009"/>
    <w:rsid w:val="359A7184"/>
    <w:rsid w:val="3D583BAC"/>
    <w:rsid w:val="40B21825"/>
    <w:rsid w:val="426923B8"/>
    <w:rsid w:val="42B31885"/>
    <w:rsid w:val="473867FC"/>
    <w:rsid w:val="4A2D016F"/>
    <w:rsid w:val="4BA601D9"/>
    <w:rsid w:val="4DF0398D"/>
    <w:rsid w:val="504F0E3F"/>
    <w:rsid w:val="51087240"/>
    <w:rsid w:val="547075D6"/>
    <w:rsid w:val="55E42029"/>
    <w:rsid w:val="5A272E2C"/>
    <w:rsid w:val="5F4B4EC7"/>
    <w:rsid w:val="63691DC0"/>
    <w:rsid w:val="63A252D2"/>
    <w:rsid w:val="685B4731"/>
    <w:rsid w:val="699456BD"/>
    <w:rsid w:val="6B777044"/>
    <w:rsid w:val="714D39D8"/>
    <w:rsid w:val="76726D86"/>
    <w:rsid w:val="76AF7FDA"/>
    <w:rsid w:val="7A440A39"/>
    <w:rsid w:val="7BD6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character" w:customStyle="1" w:styleId="7">
    <w:name w:val="标题 2 Char"/>
    <w:link w:val="2"/>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2023-12-11T09:05:34Z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C50F44C184E048EC91A0944B3862536F_13</vt:lpwstr>
  </property>
</Properties>
</file>