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center"/>
        <w:textAlignment w:val="top"/>
        <w:rPr>
          <w:rFonts w:ascii="Arial" w:hAnsi="Arial" w:cs="Arial"/>
          <w:i w:val="0"/>
          <w:iCs w:val="0"/>
          <w:caps w:val="0"/>
          <w:color w:val="000000"/>
          <w:spacing w:val="0"/>
          <w:sz w:val="24"/>
          <w:szCs w:val="24"/>
        </w:rPr>
      </w:pPr>
      <w:r>
        <w:rPr>
          <w:rStyle w:val="10"/>
          <w:rFonts w:hint="eastAsia" w:ascii="宋体" w:hAnsi="宋体" w:eastAsia="宋体" w:cs="宋体"/>
          <w:i w:val="0"/>
          <w:iCs w:val="0"/>
          <w:caps w:val="0"/>
          <w:color w:val="000000"/>
          <w:spacing w:val="0"/>
          <w:sz w:val="24"/>
          <w:szCs w:val="24"/>
          <w:bdr w:val="none" w:color="auto" w:sz="0" w:space="0"/>
          <w:shd w:val="clear" w:fill="FFFFFF"/>
        </w:rPr>
        <w:t>河南省交通运输厅</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center"/>
        <w:textAlignment w:val="top"/>
        <w:rPr>
          <w:rFonts w:hint="default" w:ascii="Arial" w:hAnsi="Arial" w:cs="Arial"/>
          <w:i w:val="0"/>
          <w:iCs w:val="0"/>
          <w:caps w:val="0"/>
          <w:color w:val="000000"/>
          <w:spacing w:val="0"/>
          <w:sz w:val="24"/>
          <w:szCs w:val="24"/>
        </w:rPr>
      </w:pPr>
      <w:r>
        <w:rPr>
          <w:rStyle w:val="10"/>
          <w:rFonts w:hint="eastAsia" w:ascii="宋体" w:hAnsi="宋体" w:eastAsia="宋体" w:cs="宋体"/>
          <w:i w:val="0"/>
          <w:iCs w:val="0"/>
          <w:caps w:val="0"/>
          <w:color w:val="000000"/>
          <w:spacing w:val="0"/>
          <w:sz w:val="24"/>
          <w:szCs w:val="24"/>
          <w:bdr w:val="none" w:color="auto" w:sz="0" w:space="0"/>
          <w:shd w:val="clear" w:fill="FFFFFF"/>
        </w:rPr>
        <w:t>关于印发河南省“信用交通市”建设实施方案的通知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center"/>
        <w:textAlignment w:val="top"/>
        <w:rPr>
          <w:rFonts w:hint="default" w:ascii="Arial" w:hAnsi="Arial" w:cs="Arial"/>
          <w:i w:val="0"/>
          <w:iCs w:val="0"/>
          <w:caps w:val="0"/>
          <w:color w:val="000000"/>
          <w:spacing w:val="0"/>
          <w:sz w:val="24"/>
          <w:szCs w:val="24"/>
        </w:rPr>
      </w:pPr>
      <w:r>
        <w:rPr>
          <w:rFonts w:ascii="仿宋" w:hAnsi="仿宋" w:eastAsia="仿宋" w:cs="仿宋"/>
          <w:i w:val="0"/>
          <w:iCs w:val="0"/>
          <w:caps w:val="0"/>
          <w:color w:val="000000"/>
          <w:spacing w:val="0"/>
          <w:sz w:val="28"/>
          <w:szCs w:val="28"/>
          <w:bdr w:val="none" w:color="auto" w:sz="0" w:space="0"/>
          <w:shd w:val="clear" w:fill="FFFFFF"/>
        </w:rPr>
        <w:t>豫交文〔2023〕53号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textAlignment w:val="top"/>
        <w:rPr>
          <w:rFonts w:hint="default" w:ascii="Arial" w:hAnsi="Arial" w:cs="Arial"/>
          <w:i w:val="0"/>
          <w:iCs w:val="0"/>
          <w:caps w:val="0"/>
          <w:color w:val="000000"/>
          <w:spacing w:val="0"/>
          <w:sz w:val="24"/>
          <w:szCs w:val="24"/>
        </w:rPr>
      </w:pPr>
      <w:r>
        <w:rPr>
          <w:rFonts w:hint="eastAsia" w:ascii="仿宋" w:hAnsi="仿宋" w:eastAsia="仿宋" w:cs="仿宋"/>
          <w:i w:val="0"/>
          <w:iCs w:val="0"/>
          <w:caps w:val="0"/>
          <w:color w:val="000000"/>
          <w:spacing w:val="0"/>
          <w:sz w:val="28"/>
          <w:szCs w:val="28"/>
          <w:bdr w:val="none" w:color="auto" w:sz="0" w:space="0"/>
          <w:shd w:val="clear" w:fill="FFFFFF"/>
        </w:rPr>
        <w:t>各省辖市、济源示范区交通运输局，航空港区交通运输主管部门，厅直属有关单位，厅机关有关处室：</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textAlignment w:val="top"/>
        <w:rPr>
          <w:rFonts w:hint="default" w:ascii="Arial" w:hAnsi="Arial" w:cs="Arial"/>
          <w:i w:val="0"/>
          <w:iCs w:val="0"/>
          <w:caps w:val="0"/>
          <w:color w:val="000000"/>
          <w:spacing w:val="0"/>
          <w:sz w:val="24"/>
          <w:szCs w:val="24"/>
        </w:rPr>
      </w:pPr>
      <w:r>
        <w:rPr>
          <w:rFonts w:hint="eastAsia" w:ascii="仿宋" w:hAnsi="仿宋" w:eastAsia="仿宋" w:cs="仿宋"/>
          <w:i w:val="0"/>
          <w:iCs w:val="0"/>
          <w:caps w:val="0"/>
          <w:color w:val="000000"/>
          <w:spacing w:val="0"/>
          <w:sz w:val="28"/>
          <w:szCs w:val="28"/>
          <w:bdr w:val="none" w:color="auto" w:sz="0" w:space="0"/>
          <w:shd w:val="clear" w:fill="FFFFFF"/>
        </w:rPr>
        <w:t>　　为深入贯彻落实省委省政府“信用河南”建设和交通运输部关于信用体系建设的决策部署，推进我省“信用交通省”建设向基层一线延伸，加快信用与业务工作深度融合，以信用高质量建设推动交通运输高质量发展，省厅制定了《河南省“信用交通市”建设实施方案》。现印发给你们，请认真贯彻执行。</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right"/>
        <w:textAlignment w:val="top"/>
        <w:rPr>
          <w:rFonts w:hint="default" w:ascii="Arial" w:hAnsi="Arial" w:cs="Arial"/>
          <w:i w:val="0"/>
          <w:iCs w:val="0"/>
          <w:caps w:val="0"/>
          <w:color w:val="000000"/>
          <w:spacing w:val="0"/>
          <w:sz w:val="24"/>
          <w:szCs w:val="24"/>
        </w:rPr>
      </w:pPr>
      <w:r>
        <w:rPr>
          <w:rFonts w:hint="eastAsia" w:ascii="仿宋" w:hAnsi="仿宋" w:eastAsia="仿宋" w:cs="仿宋"/>
          <w:i w:val="0"/>
          <w:iCs w:val="0"/>
          <w:caps w:val="0"/>
          <w:color w:val="000000"/>
          <w:spacing w:val="0"/>
          <w:sz w:val="28"/>
          <w:szCs w:val="28"/>
          <w:bdr w:val="none" w:color="auto" w:sz="0" w:space="0"/>
          <w:shd w:val="clear" w:fill="FFFFFF"/>
        </w:rPr>
        <w:t>　　　　　　　　　　　　　　　　　　2023年9月14日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center"/>
        <w:textAlignment w:val="top"/>
        <w:rPr>
          <w:rFonts w:hint="default" w:ascii="Arial" w:hAnsi="Arial" w:cs="Arial"/>
          <w:i w:val="0"/>
          <w:iCs w:val="0"/>
          <w:caps w:val="0"/>
          <w:color w:val="000000"/>
          <w:spacing w:val="0"/>
          <w:sz w:val="24"/>
          <w:szCs w:val="24"/>
        </w:rPr>
      </w:pPr>
      <w:r>
        <w:rPr>
          <w:rStyle w:val="10"/>
          <w:rFonts w:hint="eastAsia" w:ascii="宋体" w:hAnsi="宋体" w:eastAsia="宋体" w:cs="宋体"/>
          <w:i w:val="0"/>
          <w:iCs w:val="0"/>
          <w:caps w:val="0"/>
          <w:color w:val="000000"/>
          <w:spacing w:val="0"/>
          <w:sz w:val="24"/>
          <w:szCs w:val="24"/>
          <w:bdr w:val="none" w:color="auto" w:sz="0" w:space="0"/>
          <w:shd w:val="clear" w:fill="FFFFFF"/>
        </w:rPr>
        <w:t>河南省“信用交通市”建设实施方案</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textAlignment w:val="top"/>
        <w:rPr>
          <w:rFonts w:hint="default" w:ascii="Arial" w:hAnsi="Arial" w:cs="Arial"/>
          <w:i w:val="0"/>
          <w:iCs w:val="0"/>
          <w:caps w:val="0"/>
          <w:color w:val="000000"/>
          <w:spacing w:val="0"/>
          <w:sz w:val="24"/>
          <w:szCs w:val="24"/>
        </w:rPr>
      </w:pPr>
      <w:r>
        <w:rPr>
          <w:rFonts w:hint="eastAsia" w:ascii="仿宋" w:hAnsi="仿宋" w:eastAsia="仿宋" w:cs="仿宋"/>
          <w:i w:val="0"/>
          <w:iCs w:val="0"/>
          <w:caps w:val="0"/>
          <w:color w:val="000000"/>
          <w:spacing w:val="0"/>
          <w:sz w:val="28"/>
          <w:szCs w:val="28"/>
          <w:bdr w:val="none" w:color="auto" w:sz="0" w:space="0"/>
          <w:shd w:val="clear" w:fill="FFFFFF"/>
        </w:rPr>
        <w:t>　　按照省委省政府“信用河南”建设决策部署和交通运输部“信用交通省”建设向市县等基层一线纵深推进的工作要求，为进一步深化我省“信用交通省”建设，拓展信用监管应用，强化省市联动，全面提升行业治理能力和水平，以信用高质量建设推动交通运输高质量发展，决定开展“信用交通市”建设工作，制定方案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textAlignment w:val="top"/>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w:t>
      </w:r>
      <w:r>
        <w:rPr>
          <w:rFonts w:ascii="黑体" w:hAnsi="宋体" w:eastAsia="黑体" w:cs="黑体"/>
          <w:i w:val="0"/>
          <w:iCs w:val="0"/>
          <w:caps w:val="0"/>
          <w:color w:val="000000"/>
          <w:spacing w:val="0"/>
          <w:sz w:val="28"/>
          <w:szCs w:val="28"/>
          <w:bdr w:val="none" w:color="auto" w:sz="0" w:space="0"/>
          <w:shd w:val="clear" w:fill="FFFFFF"/>
        </w:rPr>
        <w:t>　一、总体要求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textAlignment w:val="top"/>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w:t>
      </w:r>
      <w:r>
        <w:rPr>
          <w:rFonts w:ascii="楷体" w:hAnsi="楷体" w:eastAsia="楷体" w:cs="楷体"/>
          <w:i w:val="0"/>
          <w:iCs w:val="0"/>
          <w:caps w:val="0"/>
          <w:color w:val="000000"/>
          <w:spacing w:val="0"/>
          <w:sz w:val="28"/>
          <w:szCs w:val="28"/>
          <w:bdr w:val="none" w:color="auto" w:sz="0" w:space="0"/>
          <w:shd w:val="clear" w:fill="FFFFFF"/>
        </w:rPr>
        <w:t>　（一）指导思想</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textAlignment w:val="top"/>
        <w:rPr>
          <w:rFonts w:hint="default" w:ascii="Arial" w:hAnsi="Arial" w:cs="Arial"/>
          <w:i w:val="0"/>
          <w:iCs w:val="0"/>
          <w:caps w:val="0"/>
          <w:color w:val="000000"/>
          <w:spacing w:val="0"/>
          <w:sz w:val="24"/>
          <w:szCs w:val="24"/>
        </w:rPr>
      </w:pPr>
      <w:r>
        <w:rPr>
          <w:rFonts w:hint="eastAsia" w:ascii="仿宋" w:hAnsi="仿宋" w:eastAsia="仿宋" w:cs="仿宋"/>
          <w:i w:val="0"/>
          <w:iCs w:val="0"/>
          <w:caps w:val="0"/>
          <w:color w:val="000000"/>
          <w:spacing w:val="0"/>
          <w:sz w:val="28"/>
          <w:szCs w:val="28"/>
          <w:bdr w:val="none" w:color="auto" w:sz="0" w:space="0"/>
          <w:shd w:val="clear" w:fill="FFFFFF"/>
        </w:rPr>
        <w:t>　　以习近平新时代中国特色社会主义思想为指导，深入贯彻党的二十大精神，全面落实党中央国务院、省委省政府和交通运输部关于社会信用体系建设的决策部署，以深化“信用交通省”建设为载体，全面推进信用理念、信用制度、信用手段与交通运输各领域、各环节深度融合，进一步健全制度规范、加强监管创新、强化省市协同，着力构建以信用为基础的新型监管和社会服务机制，提高资源配置效率、降低制度性交易成本，为优化全省营商环境、加快交通强省建设提供坚实支撑。</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textAlignment w:val="top"/>
        <w:rPr>
          <w:rFonts w:hint="default" w:ascii="Arial" w:hAnsi="Arial" w:cs="Arial"/>
          <w:i w:val="0"/>
          <w:iCs w:val="0"/>
          <w:caps w:val="0"/>
          <w:color w:val="000000"/>
          <w:spacing w:val="0"/>
          <w:sz w:val="24"/>
          <w:szCs w:val="24"/>
        </w:rPr>
      </w:pPr>
      <w:r>
        <w:rPr>
          <w:rFonts w:hint="eastAsia" w:ascii="楷体" w:hAnsi="楷体" w:eastAsia="楷体" w:cs="楷体"/>
          <w:i w:val="0"/>
          <w:iCs w:val="0"/>
          <w:caps w:val="0"/>
          <w:color w:val="000000"/>
          <w:spacing w:val="0"/>
          <w:sz w:val="28"/>
          <w:szCs w:val="28"/>
          <w:bdr w:val="none" w:color="auto" w:sz="0" w:space="0"/>
          <w:shd w:val="clear" w:fill="FFFFFF"/>
        </w:rPr>
        <w:t>　　（二）建设目标</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textAlignment w:val="top"/>
        <w:rPr>
          <w:rFonts w:hint="default" w:ascii="Arial" w:hAnsi="Arial" w:cs="Arial"/>
          <w:i w:val="0"/>
          <w:iCs w:val="0"/>
          <w:caps w:val="0"/>
          <w:color w:val="000000"/>
          <w:spacing w:val="0"/>
          <w:sz w:val="24"/>
          <w:szCs w:val="24"/>
        </w:rPr>
      </w:pPr>
      <w:r>
        <w:rPr>
          <w:rFonts w:hint="eastAsia" w:ascii="仿宋" w:hAnsi="仿宋" w:eastAsia="仿宋" w:cs="仿宋"/>
          <w:i w:val="0"/>
          <w:iCs w:val="0"/>
          <w:caps w:val="0"/>
          <w:color w:val="000000"/>
          <w:spacing w:val="0"/>
          <w:sz w:val="28"/>
          <w:szCs w:val="28"/>
          <w:bdr w:val="none" w:color="auto" w:sz="0" w:space="0"/>
          <w:shd w:val="clear" w:fill="FFFFFF"/>
        </w:rPr>
        <w:t>　　到2025年底，市级层面交通运输信用管理体制和运行机制基本完善，“信用交通省”建设成效更加深化。信用与交通运输工程建设、道路运输、安全生产、行政执法等业务领域融合更加深入。信用查询在行政审批、行政检查、工程招投标、评优评先、财政资金扶持等事项中广泛应用，审批、监管和服务效能不断提升；信用监管在客货运、出租车、城市公交等领域不断拓展，运输服务水平大幅提升；“两客一危”领域安全监管向事前预防和分级分类管控转型，行业安全治理成效更加深化；信用治超、源头监管、“轻微免罚＋承诺”等监管举措得到广泛推广，“信用＋执法”体系基本建成。全省交通运输行业基本实现人、车、企全流程信用监管闭环，信用在提升行业治理能力、深化“放管服效”改革和优化营商环境、加快交通强省建设等方面的基础支撑作用显著增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textAlignment w:val="top"/>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8"/>
          <w:szCs w:val="28"/>
          <w:bdr w:val="none" w:color="auto" w:sz="0" w:space="0"/>
          <w:shd w:val="clear" w:fill="FFFFFF"/>
        </w:rPr>
        <w:t>二、重点任务</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textAlignment w:val="top"/>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w:t>
      </w:r>
      <w:r>
        <w:rPr>
          <w:rFonts w:hint="eastAsia" w:ascii="楷体" w:hAnsi="楷体" w:eastAsia="楷体" w:cs="楷体"/>
          <w:i w:val="0"/>
          <w:iCs w:val="0"/>
          <w:caps w:val="0"/>
          <w:color w:val="000000"/>
          <w:spacing w:val="0"/>
          <w:sz w:val="28"/>
          <w:szCs w:val="28"/>
          <w:bdr w:val="none" w:color="auto" w:sz="0" w:space="0"/>
          <w:shd w:val="clear" w:fill="FFFFFF"/>
        </w:rPr>
        <w:t>　（一）工程建设领域</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textAlignment w:val="top"/>
        <w:rPr>
          <w:rFonts w:hint="default" w:ascii="Arial" w:hAnsi="Arial" w:cs="Arial"/>
          <w:i w:val="0"/>
          <w:iCs w:val="0"/>
          <w:caps w:val="0"/>
          <w:color w:val="000000"/>
          <w:spacing w:val="0"/>
          <w:sz w:val="24"/>
          <w:szCs w:val="24"/>
        </w:rPr>
      </w:pPr>
      <w:r>
        <w:rPr>
          <w:rFonts w:hint="eastAsia" w:ascii="仿宋" w:hAnsi="仿宋" w:eastAsia="仿宋" w:cs="仿宋"/>
          <w:i w:val="0"/>
          <w:iCs w:val="0"/>
          <w:caps w:val="0"/>
          <w:color w:val="000000"/>
          <w:spacing w:val="0"/>
          <w:sz w:val="28"/>
          <w:szCs w:val="28"/>
          <w:bdr w:val="none" w:color="auto" w:sz="0" w:space="0"/>
          <w:shd w:val="clear" w:fill="FFFFFF"/>
        </w:rPr>
        <w:t>　　1．全面落实项目建设主体责任。切实履行公路水运工程项目建设主体责任，加快解决立项、土源、“三杆”、拆迁、压矿等问题，落实属地安全监管责任，保障项目建设环境，确保年度建设任务按时完成。</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textAlignment w:val="top"/>
        <w:rPr>
          <w:rFonts w:hint="default" w:ascii="Arial" w:hAnsi="Arial" w:cs="Arial"/>
          <w:i w:val="0"/>
          <w:iCs w:val="0"/>
          <w:caps w:val="0"/>
          <w:color w:val="000000"/>
          <w:spacing w:val="0"/>
          <w:sz w:val="24"/>
          <w:szCs w:val="24"/>
        </w:rPr>
      </w:pPr>
      <w:r>
        <w:rPr>
          <w:rFonts w:hint="eastAsia" w:ascii="仿宋" w:hAnsi="仿宋" w:eastAsia="仿宋" w:cs="仿宋"/>
          <w:i w:val="0"/>
          <w:iCs w:val="0"/>
          <w:caps w:val="0"/>
          <w:color w:val="000000"/>
          <w:spacing w:val="0"/>
          <w:sz w:val="28"/>
          <w:szCs w:val="28"/>
          <w:bdr w:val="none" w:color="auto" w:sz="0" w:space="0"/>
          <w:shd w:val="clear" w:fill="FFFFFF"/>
        </w:rPr>
        <w:t>　　2．加强履约监管和信用评价。以项目履约监管为核心，加强公路水运工程建设市场从业主体信用管理。完善公路水运从业单位及从业人员信用“一户式”档案，将工程项目违法发包、转包、违法分包、挂靠资质、拖欠工程款和农民工工资等列入失信责任追究范围。按照省厅部署，规范开展本地区勘察设计、施工、监理、试验检测信用评价初评工作，评价结果及时报送省厅。</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textAlignment w:val="top"/>
        <w:rPr>
          <w:rFonts w:hint="default" w:ascii="Arial" w:hAnsi="Arial" w:cs="Arial"/>
          <w:i w:val="0"/>
          <w:iCs w:val="0"/>
          <w:caps w:val="0"/>
          <w:color w:val="000000"/>
          <w:spacing w:val="0"/>
          <w:sz w:val="24"/>
          <w:szCs w:val="24"/>
        </w:rPr>
      </w:pPr>
      <w:r>
        <w:rPr>
          <w:rFonts w:hint="eastAsia" w:ascii="仿宋" w:hAnsi="仿宋" w:eastAsia="仿宋" w:cs="仿宋"/>
          <w:i w:val="0"/>
          <w:iCs w:val="0"/>
          <w:caps w:val="0"/>
          <w:color w:val="000000"/>
          <w:spacing w:val="0"/>
          <w:sz w:val="28"/>
          <w:szCs w:val="28"/>
          <w:bdr w:val="none" w:color="auto" w:sz="0" w:space="0"/>
          <w:shd w:val="clear" w:fill="FFFFFF"/>
        </w:rPr>
        <w:t>　　3．强化信用评价结果应用。建立从业主体信用评价结果与招投标、“双随机一公开”检查等事项关联管理机制。对信用等级高的投标人，可按省有关规定给予免于信誉审查、提高履约信用分、减免保证金等激励措施；对信用等级低的投标人，招标人可依法自行设定处理方法，对其投标活动予以限制。在“双随机一公开”检查中依据信用等级实施差异化监管措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textAlignment w:val="top"/>
        <w:rPr>
          <w:rFonts w:hint="default" w:ascii="Arial" w:hAnsi="Arial" w:cs="Arial"/>
          <w:i w:val="0"/>
          <w:iCs w:val="0"/>
          <w:caps w:val="0"/>
          <w:color w:val="000000"/>
          <w:spacing w:val="0"/>
          <w:sz w:val="24"/>
          <w:szCs w:val="24"/>
        </w:rPr>
      </w:pPr>
      <w:r>
        <w:rPr>
          <w:rFonts w:hint="eastAsia" w:ascii="仿宋" w:hAnsi="仿宋" w:eastAsia="仿宋" w:cs="仿宋"/>
          <w:i w:val="0"/>
          <w:iCs w:val="0"/>
          <w:caps w:val="0"/>
          <w:color w:val="000000"/>
          <w:spacing w:val="0"/>
          <w:sz w:val="28"/>
          <w:szCs w:val="28"/>
          <w:bdr w:val="none" w:color="auto" w:sz="0" w:space="0"/>
          <w:shd w:val="clear" w:fill="FFFFFF"/>
        </w:rPr>
        <w:t>　　4．严格招投标活动行政监督。按照省厅规定的招标投标活动行政监督工作管理权限，加强辖区内公路水运工程招投标活动的行政监督，做好有关文件备案、开标评标活动现场行政监督和招标投标活动投诉调查处理。定期开展对县（区）交通运输部门招投标监督工作的检查，切实保障民营企业等各类市场主体平等参与投标活动的权利。</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textAlignment w:val="top"/>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w:t>
      </w:r>
      <w:r>
        <w:rPr>
          <w:rFonts w:hint="eastAsia" w:ascii="楷体" w:hAnsi="楷体" w:eastAsia="楷体" w:cs="楷体"/>
          <w:i w:val="0"/>
          <w:iCs w:val="0"/>
          <w:caps w:val="0"/>
          <w:color w:val="000000"/>
          <w:spacing w:val="0"/>
          <w:sz w:val="28"/>
          <w:szCs w:val="28"/>
          <w:bdr w:val="none" w:color="auto" w:sz="0" w:space="0"/>
          <w:shd w:val="clear" w:fill="FFFFFF"/>
        </w:rPr>
        <w:t>（二）道路运输领域</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textAlignment w:val="top"/>
        <w:rPr>
          <w:rFonts w:hint="default" w:ascii="Arial" w:hAnsi="Arial" w:cs="Arial"/>
          <w:i w:val="0"/>
          <w:iCs w:val="0"/>
          <w:caps w:val="0"/>
          <w:color w:val="000000"/>
          <w:spacing w:val="0"/>
          <w:sz w:val="24"/>
          <w:szCs w:val="24"/>
        </w:rPr>
      </w:pPr>
      <w:r>
        <w:rPr>
          <w:rFonts w:hint="eastAsia" w:ascii="仿宋" w:hAnsi="仿宋" w:eastAsia="仿宋" w:cs="仿宋"/>
          <w:i w:val="0"/>
          <w:iCs w:val="0"/>
          <w:caps w:val="0"/>
          <w:color w:val="000000"/>
          <w:spacing w:val="0"/>
          <w:sz w:val="28"/>
          <w:szCs w:val="28"/>
          <w:bdr w:val="none" w:color="auto" w:sz="0" w:space="0"/>
          <w:shd w:val="clear" w:fill="FFFFFF"/>
        </w:rPr>
        <w:t>　　5．加强道路客运市场信用管理。按照“证照分离”改革要求，在道路旅客运输站经营许可中实施告知承诺，优化审批办理。督促企业落实运输服务质量、拟投入车辆和聘用驾驶员等承诺事项。开展客运企业服务质量信誉考核和驾驶员诚信考核，对考核等级高的企业，在节假日运力保障、新增运力、扩大经营范围、经营权延续等方面予以优先考虑。</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textAlignment w:val="top"/>
        <w:rPr>
          <w:rFonts w:hint="default" w:ascii="Arial" w:hAnsi="Arial" w:cs="Arial"/>
          <w:i w:val="0"/>
          <w:iCs w:val="0"/>
          <w:caps w:val="0"/>
          <w:color w:val="000000"/>
          <w:spacing w:val="0"/>
          <w:sz w:val="24"/>
          <w:szCs w:val="24"/>
        </w:rPr>
      </w:pPr>
      <w:r>
        <w:rPr>
          <w:rFonts w:hint="eastAsia" w:ascii="仿宋" w:hAnsi="仿宋" w:eastAsia="仿宋" w:cs="仿宋"/>
          <w:i w:val="0"/>
          <w:iCs w:val="0"/>
          <w:caps w:val="0"/>
          <w:color w:val="000000"/>
          <w:spacing w:val="0"/>
          <w:sz w:val="28"/>
          <w:szCs w:val="28"/>
          <w:bdr w:val="none" w:color="auto" w:sz="0" w:space="0"/>
          <w:shd w:val="clear" w:fill="FFFFFF"/>
        </w:rPr>
        <w:t>　　6．推进道路货运监管信息化。落实道路货物运输经营许可（除使用总质量4500千克及以下普通货运车辆从事普通货运经营、网络货运经营外）告知承诺制，加强普货车辆智能视频监控设备的推广应用，实现不安全驾驶行为自动识别和实时提醒纠正。落实危货运输电子运单管理制度。对辖区网络货运企业实现全覆盖监管，督促企业实时准确上传运单。</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textAlignment w:val="top"/>
        <w:rPr>
          <w:rFonts w:hint="default" w:ascii="Arial" w:hAnsi="Arial" w:cs="Arial"/>
          <w:i w:val="0"/>
          <w:iCs w:val="0"/>
          <w:caps w:val="0"/>
          <w:color w:val="000000"/>
          <w:spacing w:val="0"/>
          <w:sz w:val="24"/>
          <w:szCs w:val="24"/>
        </w:rPr>
      </w:pPr>
      <w:r>
        <w:rPr>
          <w:rFonts w:hint="eastAsia" w:ascii="仿宋" w:hAnsi="仿宋" w:eastAsia="仿宋" w:cs="仿宋"/>
          <w:i w:val="0"/>
          <w:iCs w:val="0"/>
          <w:caps w:val="0"/>
          <w:color w:val="000000"/>
          <w:spacing w:val="0"/>
          <w:sz w:val="28"/>
          <w:szCs w:val="28"/>
          <w:bdr w:val="none" w:color="auto" w:sz="0" w:space="0"/>
          <w:shd w:val="clear" w:fill="FFFFFF"/>
        </w:rPr>
        <w:t>　　7．保障城市公交平稳有序运营。开展公交行业突出问题排查治理，全面摸排欠薪欠保情况，建立风险隐患台账，实现预警、清欠工作常态化。出台城市公共交通成本规制办法，足额兑现财政补贴。规范城市公共汽电车运营管理，确保城市公共汽电车线路特许经营协议内容合规、企业符合准入条件、许可符合程序。</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textAlignment w:val="top"/>
        <w:rPr>
          <w:rFonts w:hint="default" w:ascii="Arial" w:hAnsi="Arial" w:cs="Arial"/>
          <w:i w:val="0"/>
          <w:iCs w:val="0"/>
          <w:caps w:val="0"/>
          <w:color w:val="000000"/>
          <w:spacing w:val="0"/>
          <w:sz w:val="24"/>
          <w:szCs w:val="24"/>
        </w:rPr>
      </w:pPr>
      <w:r>
        <w:rPr>
          <w:rFonts w:hint="eastAsia" w:ascii="仿宋" w:hAnsi="仿宋" w:eastAsia="仿宋" w:cs="仿宋"/>
          <w:i w:val="0"/>
          <w:iCs w:val="0"/>
          <w:caps w:val="0"/>
          <w:color w:val="000000"/>
          <w:spacing w:val="0"/>
          <w:sz w:val="28"/>
          <w:szCs w:val="28"/>
          <w:bdr w:val="none" w:color="auto" w:sz="0" w:space="0"/>
          <w:shd w:val="clear" w:fill="FFFFFF"/>
        </w:rPr>
        <w:t>　　8．加强出租汽车行业信用建设。强化出租汽车驾驶员服务质量信誉考核结果应用，推进巡游车通过车载终端、顶灯或服务监督卡等形式标注驾驶员服务质量信誉考核等级，督促网约车平台公司在移动互联网应用程序客户端标注网约车驾驶员服务质量信誉考核等级，打造出租汽车领域“看得见的信用”。提升网约车合规化水平，及时清退不合规车辆和驾驶员。</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textAlignment w:val="top"/>
        <w:rPr>
          <w:rFonts w:hint="default" w:ascii="Arial" w:hAnsi="Arial" w:cs="Arial"/>
          <w:i w:val="0"/>
          <w:iCs w:val="0"/>
          <w:caps w:val="0"/>
          <w:color w:val="000000"/>
          <w:spacing w:val="0"/>
          <w:sz w:val="24"/>
          <w:szCs w:val="24"/>
        </w:rPr>
      </w:pPr>
      <w:r>
        <w:rPr>
          <w:rFonts w:hint="eastAsia" w:ascii="仿宋" w:hAnsi="仿宋" w:eastAsia="仿宋" w:cs="仿宋"/>
          <w:i w:val="0"/>
          <w:iCs w:val="0"/>
          <w:caps w:val="0"/>
          <w:color w:val="000000"/>
          <w:spacing w:val="0"/>
          <w:sz w:val="28"/>
          <w:szCs w:val="28"/>
          <w:bdr w:val="none" w:color="auto" w:sz="0" w:space="0"/>
          <w:shd w:val="clear" w:fill="FFFFFF"/>
        </w:rPr>
        <w:t>　　9．强化驾培和维修行业信用监管。落实驾培和维修行业服务质量信誉考核。加强从业主体守信激励，引导消费者选择信用等级高、培训质量好的驾培机构，优先推荐信用等级高的机动车维修企业进入政府采购公务车辆维修定点单位或招投标，促进企业诚信经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textAlignment w:val="top"/>
        <w:rPr>
          <w:rFonts w:hint="default" w:ascii="Arial" w:hAnsi="Arial" w:cs="Arial"/>
          <w:i w:val="0"/>
          <w:iCs w:val="0"/>
          <w:caps w:val="0"/>
          <w:color w:val="000000"/>
          <w:spacing w:val="0"/>
          <w:sz w:val="24"/>
          <w:szCs w:val="24"/>
        </w:rPr>
      </w:pPr>
      <w:r>
        <w:rPr>
          <w:rFonts w:hint="eastAsia" w:ascii="仿宋" w:hAnsi="仿宋" w:eastAsia="仿宋" w:cs="仿宋"/>
          <w:i w:val="0"/>
          <w:iCs w:val="0"/>
          <w:caps w:val="0"/>
          <w:color w:val="000000"/>
          <w:spacing w:val="0"/>
          <w:sz w:val="28"/>
          <w:szCs w:val="28"/>
          <w:bdr w:val="none" w:color="auto" w:sz="0" w:space="0"/>
          <w:shd w:val="clear" w:fill="FFFFFF"/>
        </w:rPr>
        <w:t>　　10．探索推进“信易行”。积极探索信用良好的市场主体在交通出行、车辆维修、车辆救援等方面享受便利，鼓励推行诚信个人乘坐公交、长途客车等便利优惠措施，鼓励机动车维修企业对诚信个人推行汽修费用优惠、免费车辆救援、免费车检等服务。</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textAlignment w:val="top"/>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w:t>
      </w:r>
      <w:r>
        <w:rPr>
          <w:rFonts w:hint="eastAsia" w:ascii="楷体" w:hAnsi="楷体" w:eastAsia="楷体" w:cs="楷体"/>
          <w:i w:val="0"/>
          <w:iCs w:val="0"/>
          <w:caps w:val="0"/>
          <w:color w:val="000000"/>
          <w:spacing w:val="0"/>
          <w:sz w:val="28"/>
          <w:szCs w:val="28"/>
          <w:bdr w:val="none" w:color="auto" w:sz="0" w:space="0"/>
          <w:shd w:val="clear" w:fill="FFFFFF"/>
        </w:rPr>
        <w:t>　（三）安全生产领域</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textAlignment w:val="top"/>
        <w:rPr>
          <w:rFonts w:hint="default" w:ascii="Arial" w:hAnsi="Arial" w:cs="Arial"/>
          <w:i w:val="0"/>
          <w:iCs w:val="0"/>
          <w:caps w:val="0"/>
          <w:color w:val="000000"/>
          <w:spacing w:val="0"/>
          <w:sz w:val="24"/>
          <w:szCs w:val="24"/>
        </w:rPr>
      </w:pPr>
      <w:r>
        <w:rPr>
          <w:rFonts w:hint="eastAsia" w:ascii="仿宋" w:hAnsi="仿宋" w:eastAsia="仿宋" w:cs="仿宋"/>
          <w:i w:val="0"/>
          <w:iCs w:val="0"/>
          <w:caps w:val="0"/>
          <w:color w:val="000000"/>
          <w:spacing w:val="0"/>
          <w:sz w:val="28"/>
          <w:szCs w:val="28"/>
          <w:bdr w:val="none" w:color="auto" w:sz="0" w:space="0"/>
          <w:shd w:val="clear" w:fill="FFFFFF"/>
        </w:rPr>
        <w:t>　　11．推进双重预防机制建设。督促企业按照法定要求，开展安全生产风险隐患双重预防机制建设，帮助引导企业全面辨识管控安全风险，规范隐患排查治理流程。对双重预防机制未建立、建而未用或未按规定开展隐患排查治理的企业实施重点管控，切实从源头上预防和防范事故发生，提升行业本质安全水平。</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textAlignment w:val="top"/>
        <w:rPr>
          <w:rFonts w:hint="default" w:ascii="Arial" w:hAnsi="Arial" w:cs="Arial"/>
          <w:i w:val="0"/>
          <w:iCs w:val="0"/>
          <w:caps w:val="0"/>
          <w:color w:val="000000"/>
          <w:spacing w:val="0"/>
          <w:sz w:val="24"/>
          <w:szCs w:val="24"/>
        </w:rPr>
      </w:pPr>
      <w:r>
        <w:rPr>
          <w:rFonts w:hint="eastAsia" w:ascii="仿宋" w:hAnsi="仿宋" w:eastAsia="仿宋" w:cs="仿宋"/>
          <w:i w:val="0"/>
          <w:iCs w:val="0"/>
          <w:caps w:val="0"/>
          <w:color w:val="000000"/>
          <w:spacing w:val="0"/>
          <w:sz w:val="28"/>
          <w:szCs w:val="28"/>
          <w:bdr w:val="none" w:color="auto" w:sz="0" w:space="0"/>
          <w:shd w:val="clear" w:fill="FFFFFF"/>
        </w:rPr>
        <w:t>　　12．强化道路运输企业和车辆智慧监管。依托省综合交通运输管理服务平台，加强辖区人、车、企全链条安全监管，严厉打击超速、疲劳驾驶、未经许可和超越许可事项经营等违法违规行为，对问题隐患突出的企业采取警示、通报、约谈、重点监管等措施，实现智慧监管、信用监管、分类监管。</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textAlignment w:val="top"/>
        <w:rPr>
          <w:rFonts w:hint="default" w:ascii="Arial" w:hAnsi="Arial" w:cs="Arial"/>
          <w:i w:val="0"/>
          <w:iCs w:val="0"/>
          <w:caps w:val="0"/>
          <w:color w:val="000000"/>
          <w:spacing w:val="0"/>
          <w:sz w:val="24"/>
          <w:szCs w:val="24"/>
        </w:rPr>
      </w:pPr>
      <w:r>
        <w:rPr>
          <w:rFonts w:hint="eastAsia" w:ascii="仿宋" w:hAnsi="仿宋" w:eastAsia="仿宋" w:cs="仿宋"/>
          <w:i w:val="0"/>
          <w:iCs w:val="0"/>
          <w:caps w:val="0"/>
          <w:color w:val="000000"/>
          <w:spacing w:val="0"/>
          <w:sz w:val="28"/>
          <w:szCs w:val="28"/>
          <w:bdr w:val="none" w:color="auto" w:sz="0" w:space="0"/>
          <w:shd w:val="clear" w:fill="FFFFFF"/>
        </w:rPr>
        <w:t>　　13．规范“两客一危”运输企业安全等级评价。依法依规、严格规范做好“两客一危”运输企业安全生产数据采集工作，每季度按照省厅评价标准对辖区内企业进行“红、橙、黄、蓝”安全等级评价。加强对企业的日常监管，切实降低本地区红码、橙码企业占比。</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textAlignment w:val="top"/>
        <w:rPr>
          <w:rFonts w:hint="default" w:ascii="Arial" w:hAnsi="Arial" w:cs="Arial"/>
          <w:i w:val="0"/>
          <w:iCs w:val="0"/>
          <w:caps w:val="0"/>
          <w:color w:val="000000"/>
          <w:spacing w:val="0"/>
          <w:sz w:val="24"/>
          <w:szCs w:val="24"/>
        </w:rPr>
      </w:pPr>
      <w:r>
        <w:rPr>
          <w:rFonts w:hint="eastAsia" w:ascii="仿宋" w:hAnsi="仿宋" w:eastAsia="仿宋" w:cs="仿宋"/>
          <w:i w:val="0"/>
          <w:iCs w:val="0"/>
          <w:caps w:val="0"/>
          <w:color w:val="000000"/>
          <w:spacing w:val="0"/>
          <w:sz w:val="28"/>
          <w:szCs w:val="28"/>
          <w:bdr w:val="none" w:color="auto" w:sz="0" w:space="0"/>
          <w:shd w:val="clear" w:fill="FFFFFF"/>
        </w:rPr>
        <w:t>　　14．严格分级分类监管措施落实。强化“红、橙、黄、蓝”企业分级分类监管，对蓝码经营者实施政策资金支持、评优评先、优化办理程序等激励性措施；对黄码经营者实施轻微警示性措施；对橙码、红码经营者采取纳入重点监管、审慎使用告知承诺制、取消评优评先资格等惩戒措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textAlignment w:val="top"/>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w:t>
      </w:r>
      <w:r>
        <w:rPr>
          <w:rFonts w:hint="eastAsia" w:ascii="楷体" w:hAnsi="楷体" w:eastAsia="楷体" w:cs="楷体"/>
          <w:i w:val="0"/>
          <w:iCs w:val="0"/>
          <w:caps w:val="0"/>
          <w:color w:val="000000"/>
          <w:spacing w:val="0"/>
          <w:sz w:val="28"/>
          <w:szCs w:val="28"/>
          <w:bdr w:val="none" w:color="auto" w:sz="0" w:space="0"/>
          <w:shd w:val="clear" w:fill="FFFFFF"/>
        </w:rPr>
        <w:t>（四）执法领域</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textAlignment w:val="top"/>
        <w:rPr>
          <w:rFonts w:hint="default" w:ascii="Arial" w:hAnsi="Arial" w:cs="Arial"/>
          <w:i w:val="0"/>
          <w:iCs w:val="0"/>
          <w:caps w:val="0"/>
          <w:color w:val="000000"/>
          <w:spacing w:val="0"/>
          <w:sz w:val="24"/>
          <w:szCs w:val="24"/>
        </w:rPr>
      </w:pPr>
      <w:r>
        <w:rPr>
          <w:rFonts w:hint="eastAsia" w:ascii="仿宋" w:hAnsi="仿宋" w:eastAsia="仿宋" w:cs="仿宋"/>
          <w:i w:val="0"/>
          <w:iCs w:val="0"/>
          <w:caps w:val="0"/>
          <w:color w:val="000000"/>
          <w:spacing w:val="0"/>
          <w:sz w:val="28"/>
          <w:szCs w:val="28"/>
          <w:bdr w:val="none" w:color="auto" w:sz="0" w:space="0"/>
          <w:shd w:val="clear" w:fill="FFFFFF"/>
        </w:rPr>
        <w:t>　　15．推进严格规范公正文明执法。牢固树立执法为民理念，对照全省交通运输执法工作绩效评价体系，对本地区交通运输执法工作开展自查自纠和深入整改。加强对执法人员的培训管理，提升执法服务能力和水平。严格落实行政执法公示制度、行政执法全过程记录制度、重大执法决定法制审核制度，严格执行“八不准、六严禁、四必究”，全面推进严格、规范、公正、文明执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textAlignment w:val="top"/>
        <w:rPr>
          <w:rFonts w:hint="default" w:ascii="Arial" w:hAnsi="Arial" w:cs="Arial"/>
          <w:i w:val="0"/>
          <w:iCs w:val="0"/>
          <w:caps w:val="0"/>
          <w:color w:val="000000"/>
          <w:spacing w:val="0"/>
          <w:sz w:val="24"/>
          <w:szCs w:val="24"/>
        </w:rPr>
      </w:pPr>
      <w:r>
        <w:rPr>
          <w:rFonts w:hint="eastAsia" w:ascii="仿宋" w:hAnsi="仿宋" w:eastAsia="仿宋" w:cs="仿宋"/>
          <w:i w:val="0"/>
          <w:iCs w:val="0"/>
          <w:caps w:val="0"/>
          <w:color w:val="000000"/>
          <w:spacing w:val="0"/>
          <w:sz w:val="28"/>
          <w:szCs w:val="28"/>
          <w:bdr w:val="none" w:color="auto" w:sz="0" w:space="0"/>
          <w:shd w:val="clear" w:fill="FFFFFF"/>
        </w:rPr>
        <w:t>　　16．加强行政处罚信息归集应用。进一步加强行政处罚信息归集和公示，严格落实抄告主体责任，依法做好行政处罚信息抄告工作，加强信用核查和应用，规范行政执法自由裁量权。推行轻微违法告知承诺制，引导市场主体自觉承诺践诺。积极指导失信主体进行信用修复。</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textAlignment w:val="top"/>
        <w:rPr>
          <w:rFonts w:hint="default" w:ascii="Arial" w:hAnsi="Arial" w:cs="Arial"/>
          <w:i w:val="0"/>
          <w:iCs w:val="0"/>
          <w:caps w:val="0"/>
          <w:color w:val="000000"/>
          <w:spacing w:val="0"/>
          <w:sz w:val="24"/>
          <w:szCs w:val="24"/>
        </w:rPr>
      </w:pPr>
      <w:r>
        <w:rPr>
          <w:rFonts w:hint="eastAsia" w:ascii="仿宋" w:hAnsi="仿宋" w:eastAsia="仿宋" w:cs="仿宋"/>
          <w:i w:val="0"/>
          <w:iCs w:val="0"/>
          <w:caps w:val="0"/>
          <w:color w:val="000000"/>
          <w:spacing w:val="0"/>
          <w:sz w:val="28"/>
          <w:szCs w:val="28"/>
          <w:bdr w:val="none" w:color="auto" w:sz="0" w:space="0"/>
          <w:shd w:val="clear" w:fill="FFFFFF"/>
        </w:rPr>
        <w:t>　　17．强化信用治超管理。推进大件运输全链条监管，在大型设备生产企业、大件运输企业中推广应用信用承诺制，推动信用承诺信息公开，依据超限超载运输违法行为信息实施分级分类监管。落实“一超四罚”，加强源头管控。积极开展严重违法超限超载运输失信当事人名单认定、公示、发布工作，规范告知程序，依法依规落实限制市场准入、纳入重点监管等失信惩戒措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textAlignment w:val="top"/>
        <w:rPr>
          <w:rFonts w:hint="default" w:ascii="Arial" w:hAnsi="Arial" w:cs="Arial"/>
          <w:i w:val="0"/>
          <w:iCs w:val="0"/>
          <w:caps w:val="0"/>
          <w:color w:val="000000"/>
          <w:spacing w:val="0"/>
          <w:sz w:val="24"/>
          <w:szCs w:val="24"/>
        </w:rPr>
      </w:pPr>
      <w:r>
        <w:rPr>
          <w:rFonts w:hint="eastAsia" w:ascii="黑体" w:hAnsi="宋体" w:eastAsia="黑体" w:cs="黑体"/>
          <w:i w:val="0"/>
          <w:iCs w:val="0"/>
          <w:caps w:val="0"/>
          <w:color w:val="000000"/>
          <w:spacing w:val="0"/>
          <w:sz w:val="28"/>
          <w:szCs w:val="28"/>
          <w:bdr w:val="none" w:color="auto" w:sz="0" w:space="0"/>
          <w:shd w:val="clear" w:fill="FFFFFF"/>
        </w:rPr>
        <w:t>　　三、组织实施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textAlignment w:val="top"/>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w:t>
      </w:r>
      <w:r>
        <w:rPr>
          <w:rFonts w:hint="eastAsia" w:ascii="楷体" w:hAnsi="楷体" w:eastAsia="楷体" w:cs="楷体"/>
          <w:i w:val="0"/>
          <w:iCs w:val="0"/>
          <w:caps w:val="0"/>
          <w:color w:val="000000"/>
          <w:spacing w:val="0"/>
          <w:sz w:val="28"/>
          <w:szCs w:val="28"/>
          <w:bdr w:val="none" w:color="auto" w:sz="0" w:space="0"/>
          <w:shd w:val="clear" w:fill="FFFFFF"/>
        </w:rPr>
        <w:t>　（一）统筹组织。</w:t>
      </w:r>
      <w:r>
        <w:rPr>
          <w:rFonts w:hint="eastAsia" w:ascii="仿宋" w:hAnsi="仿宋" w:eastAsia="仿宋" w:cs="仿宋"/>
          <w:i w:val="0"/>
          <w:iCs w:val="0"/>
          <w:caps w:val="0"/>
          <w:color w:val="000000"/>
          <w:spacing w:val="0"/>
          <w:sz w:val="28"/>
          <w:szCs w:val="28"/>
          <w:bdr w:val="none" w:color="auto" w:sz="0" w:space="0"/>
          <w:shd w:val="clear" w:fill="FFFFFF"/>
        </w:rPr>
        <w:t>厅信用体系建设领导小组办公室（以下简称“厅信用办”）牵头组织开展“信用交通市”建设及评估工作，会同厅相关业务部门加强对建设工作的指导和管理，建立健全全过程跟踪监测和抽查督导机制，确保“信用交通市”建设各项任务顺利推进。</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textAlignment w:val="top"/>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w:t>
      </w:r>
      <w:r>
        <w:rPr>
          <w:rFonts w:hint="eastAsia" w:ascii="楷体" w:hAnsi="楷体" w:eastAsia="楷体" w:cs="楷体"/>
          <w:i w:val="0"/>
          <w:iCs w:val="0"/>
          <w:caps w:val="0"/>
          <w:color w:val="000000"/>
          <w:spacing w:val="0"/>
          <w:sz w:val="28"/>
          <w:szCs w:val="28"/>
          <w:bdr w:val="none" w:color="auto" w:sz="0" w:space="0"/>
          <w:shd w:val="clear" w:fill="FFFFFF"/>
        </w:rPr>
        <w:t>　（二）推进实施。</w:t>
      </w:r>
      <w:r>
        <w:rPr>
          <w:rFonts w:hint="eastAsia" w:ascii="仿宋" w:hAnsi="仿宋" w:eastAsia="仿宋" w:cs="仿宋"/>
          <w:i w:val="0"/>
          <w:iCs w:val="0"/>
          <w:caps w:val="0"/>
          <w:color w:val="000000"/>
          <w:spacing w:val="0"/>
          <w:sz w:val="28"/>
          <w:szCs w:val="28"/>
          <w:bdr w:val="none" w:color="auto" w:sz="0" w:space="0"/>
          <w:shd w:val="clear" w:fill="FFFFFF"/>
        </w:rPr>
        <w:t>各地市交通运输局依据建设评价标准（见附件），组织相关部门共同推进“信用交通市”建设工作，积极争取当地政府及相关部门政策支持和资金支持，及时协调解决建设过程中的重点、难点问题，建立工作台账，全面、客观、准确掌握推进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textAlignment w:val="top"/>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w:t>
      </w:r>
      <w:r>
        <w:rPr>
          <w:rFonts w:hint="eastAsia" w:ascii="楷体" w:hAnsi="楷体" w:eastAsia="楷体" w:cs="楷体"/>
          <w:i w:val="0"/>
          <w:iCs w:val="0"/>
          <w:caps w:val="0"/>
          <w:color w:val="000000"/>
          <w:spacing w:val="0"/>
          <w:sz w:val="28"/>
          <w:szCs w:val="28"/>
          <w:bdr w:val="none" w:color="auto" w:sz="0" w:space="0"/>
          <w:shd w:val="clear" w:fill="FFFFFF"/>
        </w:rPr>
        <w:t>　（三）日常监测。</w:t>
      </w:r>
      <w:r>
        <w:rPr>
          <w:rFonts w:hint="eastAsia" w:ascii="仿宋" w:hAnsi="仿宋" w:eastAsia="仿宋" w:cs="仿宋"/>
          <w:i w:val="0"/>
          <w:iCs w:val="0"/>
          <w:caps w:val="0"/>
          <w:color w:val="000000"/>
          <w:spacing w:val="0"/>
          <w:sz w:val="28"/>
          <w:szCs w:val="28"/>
          <w:bdr w:val="none" w:color="auto" w:sz="0" w:space="0"/>
          <w:shd w:val="clear" w:fill="FFFFFF"/>
        </w:rPr>
        <w:t>省厅相关部门根据职责，加强对各地市相关业务领域工作开展情况的日常监督，通过资料搜集、数据监测、监督检查等方式，及时了解各地市指标任务进展情况，做到底数清、数据准、情况明。</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textAlignment w:val="top"/>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w:t>
      </w:r>
      <w:r>
        <w:rPr>
          <w:rFonts w:hint="eastAsia" w:ascii="楷体" w:hAnsi="楷体" w:eastAsia="楷体" w:cs="楷体"/>
          <w:i w:val="0"/>
          <w:iCs w:val="0"/>
          <w:caps w:val="0"/>
          <w:color w:val="000000"/>
          <w:spacing w:val="0"/>
          <w:sz w:val="28"/>
          <w:szCs w:val="28"/>
          <w:bdr w:val="none" w:color="auto" w:sz="0" w:space="0"/>
          <w:shd w:val="clear" w:fill="FFFFFF"/>
        </w:rPr>
        <w:t>（四）年度评估。</w:t>
      </w:r>
      <w:r>
        <w:rPr>
          <w:rFonts w:hint="eastAsia" w:ascii="仿宋" w:hAnsi="仿宋" w:eastAsia="仿宋" w:cs="仿宋"/>
          <w:i w:val="0"/>
          <w:iCs w:val="0"/>
          <w:caps w:val="0"/>
          <w:color w:val="000000"/>
          <w:spacing w:val="0"/>
          <w:sz w:val="28"/>
          <w:szCs w:val="28"/>
          <w:bdr w:val="none" w:color="auto" w:sz="0" w:space="0"/>
          <w:shd w:val="clear" w:fill="FFFFFF"/>
        </w:rPr>
        <w:t>建设期内，各地市交通运输局对照评价指标，每年2月底对前一年度“信用交通市”建设成效进行总结，形成年度总结报告报送至省厅，对数据来源为“地市上报”的指标一并提交佐证材料。省厅相关部门在审核报告的基础上，结合日常监督掌握情况，对各地市相关领域信用建设情况分别考核打分，厅信用办汇总各业务领域打分进行综合排名。</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textAlignment w:val="top"/>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w:t>
      </w:r>
      <w:r>
        <w:rPr>
          <w:rFonts w:hint="eastAsia" w:ascii="楷体" w:hAnsi="楷体" w:eastAsia="楷体" w:cs="楷体"/>
          <w:i w:val="0"/>
          <w:iCs w:val="0"/>
          <w:caps w:val="0"/>
          <w:color w:val="000000"/>
          <w:spacing w:val="0"/>
          <w:sz w:val="28"/>
          <w:szCs w:val="28"/>
          <w:bdr w:val="none" w:color="auto" w:sz="0" w:space="0"/>
          <w:shd w:val="clear" w:fill="FFFFFF"/>
        </w:rPr>
        <w:t>（五）评选命名。</w:t>
      </w:r>
      <w:r>
        <w:rPr>
          <w:rFonts w:hint="eastAsia" w:ascii="仿宋" w:hAnsi="仿宋" w:eastAsia="仿宋" w:cs="仿宋"/>
          <w:i w:val="0"/>
          <w:iCs w:val="0"/>
          <w:caps w:val="0"/>
          <w:color w:val="000000"/>
          <w:spacing w:val="0"/>
          <w:sz w:val="28"/>
          <w:szCs w:val="28"/>
          <w:bdr w:val="none" w:color="auto" w:sz="0" w:space="0"/>
          <w:shd w:val="clear" w:fill="FFFFFF"/>
        </w:rPr>
        <w:t>省厅按年度对“信用交通市”建设成效明显的地市进行表扬，对排名前六名的地市授予“信用交通市”称号。对评估年度内发生交通运输较大及以上安全生产责任事故、责任性重大群体事件造成严重负面舆情、执法人员违法违纪造成严重社会影响、工程建设领域出现廉政问题造成较大影响的地市，取消“信用交通市”评选资格。</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textAlignment w:val="top"/>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w:t>
      </w:r>
      <w:r>
        <w:rPr>
          <w:rFonts w:hint="eastAsia" w:ascii="楷体" w:hAnsi="楷体" w:eastAsia="楷体" w:cs="楷体"/>
          <w:i w:val="0"/>
          <w:iCs w:val="0"/>
          <w:caps w:val="0"/>
          <w:color w:val="000000"/>
          <w:spacing w:val="0"/>
          <w:sz w:val="28"/>
          <w:szCs w:val="28"/>
          <w:bdr w:val="none" w:color="auto" w:sz="0" w:space="0"/>
          <w:shd w:val="clear" w:fill="FFFFFF"/>
        </w:rPr>
        <w:t>　（六）结果应用。</w:t>
      </w:r>
      <w:r>
        <w:rPr>
          <w:rFonts w:hint="eastAsia" w:ascii="仿宋" w:hAnsi="仿宋" w:eastAsia="仿宋" w:cs="仿宋"/>
          <w:i w:val="0"/>
          <w:iCs w:val="0"/>
          <w:caps w:val="0"/>
          <w:color w:val="000000"/>
          <w:spacing w:val="0"/>
          <w:sz w:val="28"/>
          <w:szCs w:val="28"/>
          <w:bdr w:val="none" w:color="auto" w:sz="0" w:space="0"/>
          <w:shd w:val="clear" w:fill="FFFFFF"/>
        </w:rPr>
        <w:t>对评为“信用交通市”的地市，省厅在项目安排、政策资金支持等方面予以倾斜。对年度评估排名后三名的地市进行通报，并在相关表彰奖励、政策支持等方面进行限制，取消省厅评优评先资格。</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textAlignment w:val="top"/>
        <w:rPr>
          <w:rFonts w:hint="default" w:ascii="Arial" w:hAnsi="Arial" w:cs="Arial"/>
          <w:i w:val="0"/>
          <w:iCs w:val="0"/>
          <w:caps w:val="0"/>
          <w:color w:val="000000"/>
          <w:spacing w:val="0"/>
          <w:sz w:val="24"/>
          <w:szCs w:val="24"/>
        </w:rPr>
      </w:pPr>
      <w:r>
        <w:rPr>
          <w:rFonts w:hint="eastAsia" w:ascii="黑体" w:hAnsi="宋体" w:eastAsia="黑体" w:cs="黑体"/>
          <w:i w:val="0"/>
          <w:iCs w:val="0"/>
          <w:caps w:val="0"/>
          <w:color w:val="000000"/>
          <w:spacing w:val="0"/>
          <w:sz w:val="28"/>
          <w:szCs w:val="28"/>
          <w:bdr w:val="none" w:color="auto" w:sz="0" w:space="0"/>
          <w:shd w:val="clear" w:fill="FFFFFF"/>
        </w:rPr>
        <w:t>　　四、保障措施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textAlignment w:val="top"/>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w:t>
      </w:r>
      <w:r>
        <w:rPr>
          <w:rFonts w:hint="eastAsia" w:ascii="楷体" w:hAnsi="楷体" w:eastAsia="楷体" w:cs="楷体"/>
          <w:i w:val="0"/>
          <w:iCs w:val="0"/>
          <w:caps w:val="0"/>
          <w:color w:val="000000"/>
          <w:spacing w:val="0"/>
          <w:sz w:val="28"/>
          <w:szCs w:val="28"/>
          <w:bdr w:val="none" w:color="auto" w:sz="0" w:space="0"/>
          <w:shd w:val="clear" w:fill="FFFFFF"/>
        </w:rPr>
        <w:t>（一）加强组织保障。</w:t>
      </w:r>
      <w:r>
        <w:rPr>
          <w:rFonts w:hint="eastAsia" w:ascii="仿宋" w:hAnsi="仿宋" w:eastAsia="仿宋" w:cs="仿宋"/>
          <w:i w:val="0"/>
          <w:iCs w:val="0"/>
          <w:caps w:val="0"/>
          <w:color w:val="000000"/>
          <w:spacing w:val="0"/>
          <w:sz w:val="28"/>
          <w:szCs w:val="28"/>
          <w:bdr w:val="none" w:color="auto" w:sz="0" w:space="0"/>
          <w:shd w:val="clear" w:fill="FFFFFF"/>
        </w:rPr>
        <w:t>各地市要充分认识“信用交通市”建设的重要意义，切实加强组织领导，明确职责分工，落实人员、资金保障，加强与当地发改、市场监管等部门对接协调，推动各项建设任务落实。</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textAlignment w:val="top"/>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w:t>
      </w:r>
      <w:r>
        <w:rPr>
          <w:rFonts w:hint="eastAsia" w:ascii="楷体" w:hAnsi="楷体" w:eastAsia="楷体" w:cs="楷体"/>
          <w:i w:val="0"/>
          <w:iCs w:val="0"/>
          <w:caps w:val="0"/>
          <w:color w:val="000000"/>
          <w:spacing w:val="0"/>
          <w:sz w:val="28"/>
          <w:szCs w:val="28"/>
          <w:bdr w:val="none" w:color="auto" w:sz="0" w:space="0"/>
          <w:shd w:val="clear" w:fill="FFFFFF"/>
        </w:rPr>
        <w:t>（二）加强督促指导。</w:t>
      </w:r>
      <w:r>
        <w:rPr>
          <w:rFonts w:hint="eastAsia" w:ascii="仿宋" w:hAnsi="仿宋" w:eastAsia="仿宋" w:cs="仿宋"/>
          <w:i w:val="0"/>
          <w:iCs w:val="0"/>
          <w:caps w:val="0"/>
          <w:color w:val="000000"/>
          <w:spacing w:val="0"/>
          <w:sz w:val="28"/>
          <w:szCs w:val="28"/>
          <w:bdr w:val="none" w:color="auto" w:sz="0" w:space="0"/>
          <w:shd w:val="clear" w:fill="FFFFFF"/>
        </w:rPr>
        <w:t>省厅将建立完善信用工作通报机制，跟踪掌握各地市建设工作推进情况。定期召开推进会，压实各方责任，加强对“信用交通市”建设的全过程跟踪指导。</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textAlignment w:val="top"/>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w:t>
      </w:r>
      <w:r>
        <w:rPr>
          <w:rFonts w:hint="eastAsia" w:ascii="楷体" w:hAnsi="楷体" w:eastAsia="楷体" w:cs="楷体"/>
          <w:i w:val="0"/>
          <w:iCs w:val="0"/>
          <w:caps w:val="0"/>
          <w:color w:val="000000"/>
          <w:spacing w:val="0"/>
          <w:sz w:val="28"/>
          <w:szCs w:val="28"/>
          <w:bdr w:val="none" w:color="auto" w:sz="0" w:space="0"/>
          <w:shd w:val="clear" w:fill="FFFFFF"/>
        </w:rPr>
        <w:t>　（三）鼓励探索创新。</w:t>
      </w:r>
      <w:r>
        <w:rPr>
          <w:rFonts w:hint="eastAsia" w:ascii="仿宋" w:hAnsi="仿宋" w:eastAsia="仿宋" w:cs="仿宋"/>
          <w:i w:val="0"/>
          <w:iCs w:val="0"/>
          <w:caps w:val="0"/>
          <w:color w:val="000000"/>
          <w:spacing w:val="0"/>
          <w:sz w:val="28"/>
          <w:szCs w:val="28"/>
          <w:bdr w:val="none" w:color="auto" w:sz="0" w:space="0"/>
          <w:shd w:val="clear" w:fill="FFFFFF"/>
        </w:rPr>
        <w:t>鼓励各地市结合实际，加强对各业务领域信用承诺、分级分类监管、“信易批”“信易行”等“信用＋”手段的探索应用，不断拓展信用监管场景，打造本地信用监管特色亮点。</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textAlignment w:val="top"/>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w:t>
      </w:r>
      <w:r>
        <w:rPr>
          <w:rFonts w:hint="eastAsia" w:ascii="楷体" w:hAnsi="楷体" w:eastAsia="楷体" w:cs="楷体"/>
          <w:i w:val="0"/>
          <w:iCs w:val="0"/>
          <w:caps w:val="0"/>
          <w:color w:val="000000"/>
          <w:spacing w:val="0"/>
          <w:sz w:val="28"/>
          <w:szCs w:val="28"/>
          <w:bdr w:val="none" w:color="auto" w:sz="0" w:space="0"/>
          <w:shd w:val="clear" w:fill="FFFFFF"/>
        </w:rPr>
        <w:t>　（四）加强总结推广。</w:t>
      </w:r>
      <w:r>
        <w:rPr>
          <w:rFonts w:hint="eastAsia" w:ascii="仿宋" w:hAnsi="仿宋" w:eastAsia="仿宋" w:cs="仿宋"/>
          <w:i w:val="0"/>
          <w:iCs w:val="0"/>
          <w:caps w:val="0"/>
          <w:color w:val="000000"/>
          <w:spacing w:val="0"/>
          <w:sz w:val="28"/>
          <w:szCs w:val="28"/>
          <w:bdr w:val="none" w:color="auto" w:sz="0" w:space="0"/>
          <w:shd w:val="clear" w:fill="FFFFFF"/>
        </w:rPr>
        <w:t>各地市要注重总结提炼“信用交通市”建设中的典型案例、创新做法和成熟经验，并向省厅报送。省厅将通过工作简报、“信用交通·河南”网站等形式进行宣传推广并择优向交通运输部推荐，加强经验交流，强化示范引领，为我省交通运输高质量发展提供坚实的信用支撑。</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textAlignment w:val="top"/>
        <w:rPr>
          <w:rFonts w:hint="eastAsia" w:ascii="仿宋" w:hAnsi="仿宋" w:eastAsia="仿宋" w:cs="仿宋"/>
          <w:i w:val="0"/>
          <w:iCs w:val="0"/>
          <w:caps w:val="0"/>
          <w:color w:val="000000"/>
          <w:spacing w:val="0"/>
          <w:sz w:val="24"/>
          <w:szCs w:val="24"/>
          <w:u w:val="none"/>
          <w:bdr w:val="none" w:color="auto" w:sz="0" w:space="0"/>
          <w:shd w:val="clear" w:fill="FFFFFF"/>
        </w:rPr>
      </w:pPr>
      <w:r>
        <w:rPr>
          <w:rFonts w:hint="eastAsia" w:ascii="仿宋" w:hAnsi="仿宋" w:eastAsia="仿宋" w:cs="仿宋"/>
          <w:i w:val="0"/>
          <w:iCs w:val="0"/>
          <w:caps w:val="0"/>
          <w:color w:val="000000"/>
          <w:spacing w:val="0"/>
          <w:sz w:val="28"/>
          <w:szCs w:val="28"/>
          <w:bdr w:val="none" w:color="auto" w:sz="0" w:space="0"/>
          <w:shd w:val="clear" w:fill="FFFFFF"/>
        </w:rPr>
        <w:t>　　</w:t>
      </w:r>
      <w:r>
        <w:rPr>
          <w:rFonts w:hint="eastAsia" w:ascii="仿宋" w:hAnsi="仿宋" w:eastAsia="仿宋" w:cs="仿宋"/>
          <w:i w:val="0"/>
          <w:iCs w:val="0"/>
          <w:caps w:val="0"/>
          <w:color w:val="000000"/>
          <w:spacing w:val="0"/>
          <w:sz w:val="24"/>
          <w:szCs w:val="24"/>
          <w:u w:val="none"/>
          <w:bdr w:val="none" w:color="auto" w:sz="0" w:space="0"/>
          <w:shd w:val="clear" w:fill="FFFFFF"/>
        </w:rPr>
        <w:fldChar w:fldCharType="begin"/>
      </w:r>
      <w:r>
        <w:rPr>
          <w:rFonts w:hint="eastAsia" w:ascii="仿宋" w:hAnsi="仿宋" w:eastAsia="仿宋" w:cs="仿宋"/>
          <w:i w:val="0"/>
          <w:iCs w:val="0"/>
          <w:caps w:val="0"/>
          <w:color w:val="000000"/>
          <w:spacing w:val="0"/>
          <w:sz w:val="24"/>
          <w:szCs w:val="24"/>
          <w:u w:val="none"/>
          <w:bdr w:val="none" w:color="auto" w:sz="0" w:space="0"/>
          <w:shd w:val="clear" w:fill="FFFFFF"/>
        </w:rPr>
        <w:instrText xml:space="preserve"> HYPERLINK "https://oss.henan.gov.cn/typtfile/20230918/3a6a08dd2d5c46cd979487e92b5b2a69.doc" </w:instrText>
      </w:r>
      <w:r>
        <w:rPr>
          <w:rFonts w:hint="eastAsia" w:ascii="仿宋" w:hAnsi="仿宋" w:eastAsia="仿宋" w:cs="仿宋"/>
          <w:i w:val="0"/>
          <w:iCs w:val="0"/>
          <w:caps w:val="0"/>
          <w:color w:val="000000"/>
          <w:spacing w:val="0"/>
          <w:sz w:val="24"/>
          <w:szCs w:val="24"/>
          <w:u w:val="none"/>
          <w:bdr w:val="none" w:color="auto" w:sz="0" w:space="0"/>
          <w:shd w:val="clear" w:fill="FFFFFF"/>
        </w:rPr>
        <w:fldChar w:fldCharType="separate"/>
      </w:r>
      <w:r>
        <w:rPr>
          <w:rFonts w:hint="eastAsia" w:ascii="仿宋" w:hAnsi="仿宋" w:eastAsia="仿宋" w:cs="仿宋"/>
          <w:i w:val="0"/>
          <w:iCs w:val="0"/>
          <w:caps w:val="0"/>
          <w:color w:val="000000"/>
          <w:spacing w:val="0"/>
          <w:sz w:val="24"/>
          <w:szCs w:val="24"/>
          <w:u w:val="none"/>
          <w:bdr w:val="none" w:color="auto" w:sz="0" w:space="0"/>
          <w:shd w:val="clear" w:fill="FFFFFF"/>
        </w:rPr>
        <w:fldChar w:fldCharType="end"/>
      </w:r>
      <w:r>
        <w:rPr>
          <w:rFonts w:hint="eastAsia" w:ascii="仿宋" w:hAnsi="仿宋" w:eastAsia="仿宋" w:cs="仿宋"/>
          <w:i w:val="0"/>
          <w:iCs w:val="0"/>
          <w:caps w:val="0"/>
          <w:color w:val="000000"/>
          <w:spacing w:val="0"/>
          <w:sz w:val="24"/>
          <w:szCs w:val="24"/>
          <w:u w:val="none"/>
          <w:bdr w:val="none" w:color="auto" w:sz="0" w:space="0"/>
          <w:shd w:val="clear" w:fill="FFFFFF"/>
        </w:rPr>
        <w:fldChar w:fldCharType="begin"/>
      </w:r>
      <w:r>
        <w:rPr>
          <w:rFonts w:hint="eastAsia" w:ascii="仿宋" w:hAnsi="仿宋" w:eastAsia="仿宋" w:cs="仿宋"/>
          <w:i w:val="0"/>
          <w:iCs w:val="0"/>
          <w:caps w:val="0"/>
          <w:color w:val="000000"/>
          <w:spacing w:val="0"/>
          <w:sz w:val="24"/>
          <w:szCs w:val="24"/>
          <w:u w:val="none"/>
          <w:bdr w:val="none" w:color="auto" w:sz="0" w:space="0"/>
          <w:shd w:val="clear" w:fill="FFFFFF"/>
        </w:rPr>
        <w:instrText xml:space="preserve"> HYPERLINK "https://oss.henan.gov.cn/typtfile/20230918/6ab79c1841a84c4abe4908714e021a0e.doc" </w:instrText>
      </w:r>
      <w:r>
        <w:rPr>
          <w:rFonts w:hint="eastAsia" w:ascii="仿宋" w:hAnsi="仿宋" w:eastAsia="仿宋" w:cs="仿宋"/>
          <w:i w:val="0"/>
          <w:iCs w:val="0"/>
          <w:caps w:val="0"/>
          <w:color w:val="000000"/>
          <w:spacing w:val="0"/>
          <w:sz w:val="24"/>
          <w:szCs w:val="24"/>
          <w:u w:val="none"/>
          <w:bdr w:val="none" w:color="auto" w:sz="0" w:space="0"/>
          <w:shd w:val="clear" w:fill="FFFFFF"/>
        </w:rPr>
        <w:fldChar w:fldCharType="separate"/>
      </w:r>
      <w:r>
        <w:rPr>
          <w:rStyle w:val="11"/>
          <w:rFonts w:hint="eastAsia" w:ascii="仿宋" w:hAnsi="仿宋" w:eastAsia="仿宋" w:cs="仿宋"/>
          <w:i w:val="0"/>
          <w:iCs w:val="0"/>
          <w:caps w:val="0"/>
          <w:color w:val="000000"/>
          <w:spacing w:val="0"/>
          <w:sz w:val="24"/>
          <w:szCs w:val="24"/>
          <w:u w:val="none"/>
          <w:bdr w:val="none" w:color="auto" w:sz="0" w:space="0"/>
          <w:shd w:val="clear" w:fill="FFFFFF"/>
        </w:rPr>
        <w:t>附件： 河南省信用交通市建设评价标准.doc</w:t>
      </w:r>
      <w:r>
        <w:rPr>
          <w:rFonts w:hint="eastAsia" w:ascii="仿宋" w:hAnsi="仿宋" w:eastAsia="仿宋" w:cs="仿宋"/>
          <w:i w:val="0"/>
          <w:iCs w:val="0"/>
          <w:caps w:val="0"/>
          <w:color w:val="000000"/>
          <w:spacing w:val="0"/>
          <w:sz w:val="24"/>
          <w:szCs w:val="24"/>
          <w:u w:val="none"/>
          <w:bdr w:val="none" w:color="auto" w:sz="0" w:space="0"/>
          <w:shd w:val="clear" w:fill="FFFFFF"/>
        </w:rPr>
        <w:fldChar w:fldCharType="end"/>
      </w:r>
    </w:p>
    <w:p>
      <w:pPr>
        <w:rPr>
          <w:rFonts w:hint="eastAsia" w:ascii="仿宋" w:hAnsi="仿宋" w:eastAsia="仿宋" w:cs="仿宋"/>
          <w:i w:val="0"/>
          <w:iCs w:val="0"/>
          <w:caps w:val="0"/>
          <w:color w:val="000000"/>
          <w:spacing w:val="0"/>
          <w:sz w:val="24"/>
          <w:szCs w:val="24"/>
          <w:u w:val="none"/>
          <w:bdr w:val="none" w:color="auto" w:sz="0" w:space="0"/>
          <w:shd w:val="clear" w:fill="FFFFFF"/>
        </w:rPr>
      </w:pPr>
      <w:r>
        <w:rPr>
          <w:rFonts w:hint="eastAsia" w:ascii="仿宋" w:hAnsi="仿宋" w:eastAsia="仿宋" w:cs="仿宋"/>
          <w:i w:val="0"/>
          <w:iCs w:val="0"/>
          <w:caps w:val="0"/>
          <w:color w:val="000000"/>
          <w:spacing w:val="0"/>
          <w:sz w:val="24"/>
          <w:szCs w:val="24"/>
          <w:u w:val="none"/>
          <w:bdr w:val="none" w:color="auto" w:sz="0" w:space="0"/>
          <w:shd w:val="clear" w:fill="FFFFFF"/>
        </w:rPr>
        <w:br w:type="page"/>
      </w:r>
    </w:p>
    <w:p>
      <w:pPr>
        <w:pStyle w:val="3"/>
        <w:widowControl/>
        <w:adjustRightInd/>
        <w:snapToGrid/>
        <w:spacing w:line="240" w:lineRule="auto"/>
        <w:ind w:firstLine="0" w:firstLineChars="0"/>
        <w:rPr>
          <w:rFonts w:hint="eastAsia" w:cs="Times New Roman"/>
          <w:szCs w:val="32"/>
        </w:rPr>
      </w:pPr>
      <w:r>
        <w:rPr>
          <w:rFonts w:hint="eastAsia" w:cs="Times New Roman"/>
          <w:szCs w:val="32"/>
        </w:rPr>
        <w:t>附  件</w:t>
      </w:r>
    </w:p>
    <w:p>
      <w:pPr>
        <w:widowControl/>
        <w:adjustRightInd/>
        <w:snapToGrid/>
        <w:spacing w:before="217" w:beforeLines="50" w:after="217" w:afterLines="50" w:line="240" w:lineRule="auto"/>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河南省“信用交通市”建设评价标准</w:t>
      </w:r>
    </w:p>
    <w:tbl>
      <w:tblPr>
        <w:tblStyle w:val="8"/>
        <w:tblW w:w="0" w:type="auto"/>
        <w:tblInd w:w="0" w:type="dxa"/>
        <w:tblLayout w:type="autofit"/>
        <w:tblCellMar>
          <w:top w:w="0" w:type="dxa"/>
          <w:left w:w="108" w:type="dxa"/>
          <w:bottom w:w="0" w:type="dxa"/>
          <w:right w:w="108" w:type="dxa"/>
        </w:tblCellMar>
      </w:tblPr>
      <w:tblGrid>
        <w:gridCol w:w="696"/>
        <w:gridCol w:w="1176"/>
        <w:gridCol w:w="2255"/>
        <w:gridCol w:w="2822"/>
        <w:gridCol w:w="708"/>
        <w:gridCol w:w="865"/>
      </w:tblGrid>
      <w:tr>
        <w:tblPrEx>
          <w:tblCellMar>
            <w:top w:w="0" w:type="dxa"/>
            <w:left w:w="108" w:type="dxa"/>
            <w:bottom w:w="0" w:type="dxa"/>
            <w:right w:w="108" w:type="dxa"/>
          </w:tblCellMar>
        </w:tblPrEx>
        <w:trPr>
          <w:trHeight w:val="20" w:hRule="atLeast"/>
          <w:tblHeader/>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eastAsia="黑体" w:cs="宋体"/>
                <w:color w:val="000000"/>
                <w:kern w:val="0"/>
                <w:sz w:val="24"/>
                <w:szCs w:val="24"/>
              </w:rPr>
            </w:pPr>
            <w:r>
              <w:rPr>
                <w:rFonts w:hint="eastAsia" w:eastAsia="黑体" w:cs="宋体"/>
                <w:color w:val="000000"/>
                <w:kern w:val="0"/>
                <w:sz w:val="24"/>
                <w:szCs w:val="24"/>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hint="eastAsia" w:eastAsia="黑体" w:cs="宋体"/>
                <w:color w:val="000000"/>
                <w:kern w:val="0"/>
                <w:sz w:val="24"/>
                <w:szCs w:val="24"/>
              </w:rPr>
            </w:pPr>
            <w:r>
              <w:rPr>
                <w:rFonts w:hint="eastAsia" w:eastAsia="黑体" w:cs="宋体"/>
                <w:color w:val="000000"/>
                <w:kern w:val="0"/>
                <w:sz w:val="24"/>
                <w:szCs w:val="24"/>
              </w:rPr>
              <w:t>一级指标</w:t>
            </w:r>
          </w:p>
        </w:tc>
        <w:tc>
          <w:tcPr>
            <w:tcW w:w="225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hint="eastAsia" w:eastAsia="黑体" w:cs="宋体"/>
                <w:color w:val="000000"/>
                <w:kern w:val="0"/>
                <w:sz w:val="24"/>
                <w:szCs w:val="24"/>
              </w:rPr>
            </w:pPr>
            <w:r>
              <w:rPr>
                <w:rFonts w:hint="eastAsia" w:eastAsia="黑体" w:cs="宋体"/>
                <w:color w:val="000000"/>
                <w:kern w:val="0"/>
                <w:sz w:val="24"/>
                <w:szCs w:val="24"/>
              </w:rPr>
              <w:t>二级指标</w:t>
            </w:r>
          </w:p>
        </w:tc>
        <w:tc>
          <w:tcPr>
            <w:tcW w:w="76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eastAsia="黑体" w:cs="宋体"/>
                <w:color w:val="000000"/>
                <w:kern w:val="0"/>
                <w:sz w:val="24"/>
                <w:szCs w:val="24"/>
              </w:rPr>
            </w:pPr>
            <w:r>
              <w:rPr>
                <w:rFonts w:hint="eastAsia" w:eastAsia="黑体" w:cs="宋体"/>
                <w:color w:val="000000"/>
                <w:kern w:val="0"/>
                <w:sz w:val="24"/>
                <w:szCs w:val="24"/>
              </w:rPr>
              <w:t>评分内容及标准</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hint="eastAsia" w:eastAsia="黑体" w:cs="宋体"/>
                <w:color w:val="000000"/>
                <w:kern w:val="0"/>
                <w:sz w:val="24"/>
                <w:szCs w:val="24"/>
              </w:rPr>
            </w:pPr>
            <w:r>
              <w:rPr>
                <w:rFonts w:hint="eastAsia" w:eastAsia="黑体" w:cs="宋体"/>
                <w:color w:val="000000"/>
                <w:kern w:val="0"/>
                <w:sz w:val="24"/>
                <w:szCs w:val="24"/>
              </w:rPr>
              <w:t>分值</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eastAsia="黑体" w:cs="宋体"/>
                <w:color w:val="000000"/>
                <w:kern w:val="0"/>
                <w:sz w:val="24"/>
                <w:szCs w:val="24"/>
              </w:rPr>
            </w:pPr>
            <w:r>
              <w:rPr>
                <w:rFonts w:hint="eastAsia" w:eastAsia="黑体" w:cs="宋体"/>
                <w:color w:val="000000"/>
                <w:kern w:val="0"/>
                <w:sz w:val="24"/>
                <w:szCs w:val="24"/>
              </w:rPr>
              <w:t>数据来源</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hint="eastAsia" w:cs="Times New Roman"/>
                <w:color w:val="000000"/>
                <w:sz w:val="24"/>
                <w:szCs w:val="24"/>
              </w:rPr>
            </w:pPr>
            <w:r>
              <w:rPr>
                <w:rFonts w:hint="eastAsia" w:cs="Times New Roman"/>
                <w:color w:val="000000"/>
                <w:sz w:val="24"/>
                <w:szCs w:val="24"/>
              </w:rPr>
              <w:t>1</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cs="宋体"/>
                <w:color w:val="000000"/>
                <w:kern w:val="0"/>
                <w:sz w:val="24"/>
                <w:szCs w:val="24"/>
              </w:rPr>
            </w:pPr>
            <w:r>
              <w:rPr>
                <w:rFonts w:hint="eastAsia" w:cs="宋体"/>
                <w:color w:val="000000"/>
                <w:kern w:val="0"/>
                <w:sz w:val="24"/>
                <w:szCs w:val="24"/>
              </w:rPr>
              <w:t>工程建设领域</w:t>
            </w:r>
          </w:p>
          <w:p>
            <w:pPr>
              <w:widowControl/>
              <w:spacing w:line="240" w:lineRule="auto"/>
              <w:ind w:firstLine="0" w:firstLineChars="0"/>
              <w:jc w:val="center"/>
              <w:rPr>
                <w:rFonts w:hint="eastAsia" w:cs="宋体"/>
                <w:color w:val="000000"/>
                <w:kern w:val="0"/>
                <w:sz w:val="24"/>
                <w:szCs w:val="24"/>
              </w:rPr>
            </w:pPr>
            <w:r>
              <w:rPr>
                <w:rFonts w:hint="eastAsia" w:cs="宋体"/>
                <w:color w:val="000000"/>
                <w:kern w:val="0"/>
                <w:sz w:val="24"/>
                <w:szCs w:val="24"/>
              </w:rPr>
              <w:t>（</w:t>
            </w:r>
            <w:r>
              <w:rPr>
                <w:rFonts w:cs="宋体"/>
                <w:color w:val="000000"/>
                <w:kern w:val="0"/>
                <w:sz w:val="24"/>
                <w:szCs w:val="24"/>
              </w:rPr>
              <w:t>23</w:t>
            </w:r>
            <w:r>
              <w:rPr>
                <w:rFonts w:hint="eastAsia" w:cs="宋体"/>
                <w:color w:val="000000"/>
                <w:kern w:val="0"/>
                <w:sz w:val="24"/>
                <w:szCs w:val="24"/>
              </w:rPr>
              <w:t>分）</w:t>
            </w:r>
          </w:p>
        </w:tc>
        <w:tc>
          <w:tcPr>
            <w:tcW w:w="225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sz w:val="24"/>
                <w:szCs w:val="24"/>
              </w:rPr>
            </w:pPr>
            <w:r>
              <w:rPr>
                <w:rFonts w:hint="eastAsia" w:cs="宋体"/>
                <w:color w:val="000000"/>
                <w:kern w:val="0"/>
                <w:sz w:val="24"/>
                <w:szCs w:val="24"/>
              </w:rPr>
              <w:t>全面落实项目建设主体责任（7分）</w:t>
            </w:r>
          </w:p>
        </w:tc>
        <w:tc>
          <w:tcPr>
            <w:tcW w:w="76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rPr>
                <w:rFonts w:hint="eastAsia" w:cs="宋体"/>
                <w:strike/>
                <w:color w:val="000000"/>
                <w:kern w:val="0"/>
                <w:sz w:val="24"/>
                <w:szCs w:val="24"/>
              </w:rPr>
            </w:pPr>
            <w:r>
              <w:rPr>
                <w:rFonts w:hint="eastAsia" w:cs="宋体"/>
                <w:color w:val="000000"/>
                <w:kern w:val="0"/>
                <w:sz w:val="24"/>
                <w:szCs w:val="24"/>
              </w:rPr>
              <w:t>严格按照省政府文件规定，认真落实高速公路项目建设主体责任，及时完成项目立项批复、土地手续办理等前期工作，及时解决项目征地清表、土源供应、房屋拆迁、“三杆”迁改、压矿赔补偿及协议签订、涉路矛盾纠纷化解等工作，落实属地安全监管责任，为项目加快推进创造良好环境，确保项目投资、通车、开工等建设任务按时完成。本项共3分，结合高速公路项目建设地方政府责任落实考核结果赋予分值。</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hint="eastAsia" w:cs="宋体"/>
                <w:color w:val="000000"/>
                <w:kern w:val="0"/>
                <w:sz w:val="24"/>
                <w:szCs w:val="24"/>
              </w:rPr>
            </w:pPr>
            <w:r>
              <w:rPr>
                <w:rFonts w:cs="宋体"/>
                <w:color w:val="000000"/>
                <w:kern w:val="0"/>
                <w:sz w:val="24"/>
                <w:szCs w:val="24"/>
              </w:rPr>
              <w:t>3</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cs="宋体"/>
                <w:color w:val="000000"/>
                <w:kern w:val="0"/>
                <w:sz w:val="24"/>
                <w:szCs w:val="24"/>
              </w:rPr>
            </w:pPr>
            <w:r>
              <w:rPr>
                <w:rFonts w:hint="eastAsia" w:cs="宋体"/>
                <w:color w:val="000000"/>
                <w:kern w:val="0"/>
                <w:sz w:val="24"/>
                <w:szCs w:val="24"/>
              </w:rPr>
              <w:t>考核结果</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hint="eastAsia" w:cs="Times New Roman"/>
                <w:color w:val="000000"/>
                <w:kern w:val="0"/>
                <w:sz w:val="24"/>
                <w:szCs w:val="24"/>
              </w:rPr>
            </w:pPr>
            <w:r>
              <w:rPr>
                <w:rFonts w:hint="eastAsia" w:cs="Times New Roman"/>
                <w:color w:val="000000"/>
                <w:sz w:val="24"/>
                <w:szCs w:val="24"/>
              </w:rPr>
              <w:t>2</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cs="宋体"/>
                <w:color w:val="000000"/>
                <w:kern w:val="0"/>
                <w:sz w:val="24"/>
                <w:szCs w:val="24"/>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cs="宋体"/>
                <w:color w:val="000000"/>
                <w:kern w:val="0"/>
                <w:sz w:val="24"/>
                <w:szCs w:val="24"/>
              </w:rPr>
            </w:pPr>
          </w:p>
        </w:tc>
        <w:tc>
          <w:tcPr>
            <w:tcW w:w="76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rPr>
                <w:rFonts w:hint="eastAsia" w:cs="宋体"/>
                <w:color w:val="000000"/>
                <w:kern w:val="0"/>
                <w:sz w:val="24"/>
                <w:szCs w:val="24"/>
              </w:rPr>
            </w:pPr>
            <w:r>
              <w:rPr>
                <w:rFonts w:hint="eastAsia" w:cs="宋体"/>
                <w:color w:val="000000"/>
                <w:kern w:val="0"/>
                <w:sz w:val="24"/>
                <w:szCs w:val="24"/>
              </w:rPr>
              <w:t>公路水运工程项目完成年度投资计划的，得</w:t>
            </w:r>
            <w:r>
              <w:rPr>
                <w:rFonts w:cs="宋体"/>
                <w:color w:val="000000"/>
                <w:kern w:val="0"/>
                <w:sz w:val="24"/>
                <w:szCs w:val="24"/>
              </w:rPr>
              <w:t>4分；</w:t>
            </w:r>
            <w:r>
              <w:rPr>
                <w:rFonts w:hint="eastAsia" w:cs="宋体"/>
                <w:color w:val="000000"/>
                <w:kern w:val="0"/>
                <w:sz w:val="24"/>
                <w:szCs w:val="24"/>
              </w:rPr>
              <w:t>如未完成，按照完成率*</w:t>
            </w:r>
            <w:r>
              <w:rPr>
                <w:rFonts w:cs="宋体"/>
                <w:color w:val="000000"/>
                <w:kern w:val="0"/>
                <w:sz w:val="24"/>
                <w:szCs w:val="24"/>
              </w:rPr>
              <w:t>4</w:t>
            </w:r>
            <w:r>
              <w:rPr>
                <w:rFonts w:hint="eastAsia" w:cs="宋体"/>
                <w:color w:val="000000"/>
                <w:kern w:val="0"/>
                <w:sz w:val="24"/>
                <w:szCs w:val="24"/>
              </w:rPr>
              <w:t>得分。</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hint="eastAsia" w:cs="宋体"/>
                <w:color w:val="000000"/>
                <w:kern w:val="0"/>
                <w:sz w:val="24"/>
                <w:szCs w:val="24"/>
              </w:rPr>
            </w:pPr>
            <w:r>
              <w:rPr>
                <w:rFonts w:cs="宋体"/>
                <w:color w:val="000000"/>
                <w:kern w:val="0"/>
                <w:sz w:val="24"/>
                <w:szCs w:val="24"/>
              </w:rPr>
              <w:t>4</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cs="宋体"/>
                <w:color w:val="000000"/>
                <w:kern w:val="0"/>
                <w:sz w:val="24"/>
                <w:szCs w:val="24"/>
              </w:rPr>
            </w:pPr>
            <w:r>
              <w:rPr>
                <w:rFonts w:hint="eastAsia" w:cs="宋体"/>
                <w:color w:val="000000"/>
                <w:kern w:val="0"/>
                <w:sz w:val="24"/>
                <w:szCs w:val="24"/>
              </w:rPr>
              <w:t>日常监督</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hint="eastAsia" w:cs="Times New Roman"/>
                <w:color w:val="000000"/>
                <w:kern w:val="0"/>
                <w:sz w:val="24"/>
                <w:szCs w:val="24"/>
              </w:rPr>
            </w:pPr>
            <w:r>
              <w:rPr>
                <w:rFonts w:hint="eastAsia" w:cs="Times New Roman"/>
                <w:color w:val="000000"/>
                <w:sz w:val="24"/>
                <w:szCs w:val="24"/>
              </w:rPr>
              <w:t>3</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cs="宋体"/>
                <w:color w:val="000000"/>
                <w:kern w:val="0"/>
                <w:sz w:val="24"/>
                <w:szCs w:val="24"/>
              </w:rPr>
            </w:pPr>
          </w:p>
        </w:tc>
        <w:tc>
          <w:tcPr>
            <w:tcW w:w="22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sz w:val="24"/>
                <w:szCs w:val="24"/>
              </w:rPr>
            </w:pPr>
            <w:r>
              <w:rPr>
                <w:rFonts w:hint="eastAsia" w:cs="宋体"/>
                <w:color w:val="000000"/>
                <w:kern w:val="0"/>
                <w:sz w:val="24"/>
                <w:szCs w:val="24"/>
              </w:rPr>
              <w:t>加强履约监管和 信用评价</w:t>
            </w:r>
            <w:r>
              <w:rPr>
                <w:rFonts w:hint="eastAsia"/>
                <w:sz w:val="24"/>
                <w:szCs w:val="24"/>
              </w:rPr>
              <w:t>（7分）</w:t>
            </w:r>
          </w:p>
        </w:tc>
        <w:tc>
          <w:tcPr>
            <w:tcW w:w="76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rPr>
                <w:rFonts w:hint="eastAsia" w:cs="宋体"/>
                <w:color w:val="000000"/>
                <w:kern w:val="0"/>
                <w:sz w:val="24"/>
                <w:szCs w:val="24"/>
              </w:rPr>
            </w:pPr>
            <w:r>
              <w:rPr>
                <w:rFonts w:hint="eastAsia" w:cs="宋体"/>
                <w:color w:val="000000"/>
                <w:kern w:val="0"/>
                <w:sz w:val="24"/>
                <w:szCs w:val="24"/>
              </w:rPr>
              <w:t>及时归集本地区建设市场信用信息并向省厅报送的，得1</w:t>
            </w:r>
            <w:r>
              <w:rPr>
                <w:rFonts w:cs="宋体"/>
                <w:color w:val="000000"/>
                <w:kern w:val="0"/>
                <w:sz w:val="24"/>
                <w:szCs w:val="24"/>
              </w:rPr>
              <w:t>分；开展本地区</w:t>
            </w:r>
            <w:r>
              <w:rPr>
                <w:rFonts w:hint="eastAsia" w:cs="宋体"/>
                <w:color w:val="000000"/>
                <w:kern w:val="0"/>
                <w:sz w:val="24"/>
                <w:szCs w:val="24"/>
              </w:rPr>
              <w:t>勘察设计、</w:t>
            </w:r>
            <w:r>
              <w:rPr>
                <w:rFonts w:cs="宋体"/>
                <w:color w:val="000000"/>
                <w:kern w:val="0"/>
                <w:sz w:val="24"/>
                <w:szCs w:val="24"/>
              </w:rPr>
              <w:t>施工、监理、试验检测等领域信用评价初评工作，</w:t>
            </w:r>
            <w:r>
              <w:rPr>
                <w:rFonts w:hint="eastAsia" w:cs="宋体"/>
                <w:color w:val="000000"/>
                <w:kern w:val="0"/>
                <w:sz w:val="24"/>
                <w:szCs w:val="24"/>
              </w:rPr>
              <w:t>每开展</w:t>
            </w:r>
            <w:r>
              <w:rPr>
                <w:rFonts w:cs="宋体"/>
                <w:color w:val="000000"/>
                <w:kern w:val="0"/>
                <w:sz w:val="24"/>
                <w:szCs w:val="24"/>
              </w:rPr>
              <w:t>1个领域</w:t>
            </w:r>
            <w:r>
              <w:rPr>
                <w:rFonts w:hint="eastAsia" w:cs="宋体"/>
                <w:color w:val="000000"/>
                <w:kern w:val="0"/>
                <w:sz w:val="24"/>
                <w:szCs w:val="24"/>
              </w:rPr>
              <w:t>得</w:t>
            </w:r>
            <w:r>
              <w:rPr>
                <w:rFonts w:cs="宋体"/>
                <w:color w:val="000000"/>
                <w:kern w:val="0"/>
                <w:sz w:val="24"/>
                <w:szCs w:val="24"/>
              </w:rPr>
              <w:t>1分；</w:t>
            </w:r>
            <w:r>
              <w:rPr>
                <w:rFonts w:hint="eastAsia" w:cs="宋体"/>
                <w:color w:val="000000"/>
                <w:kern w:val="0"/>
                <w:sz w:val="24"/>
                <w:szCs w:val="24"/>
              </w:rPr>
              <w:t>按要求</w:t>
            </w:r>
            <w:r>
              <w:rPr>
                <w:rFonts w:cs="宋体"/>
                <w:color w:val="000000"/>
                <w:kern w:val="0"/>
                <w:sz w:val="24"/>
                <w:szCs w:val="24"/>
              </w:rPr>
              <w:t>将结果报送省厅的，</w:t>
            </w:r>
            <w:r>
              <w:rPr>
                <w:rFonts w:hint="eastAsia" w:cs="宋体"/>
                <w:color w:val="000000"/>
                <w:kern w:val="0"/>
                <w:sz w:val="24"/>
                <w:szCs w:val="24"/>
              </w:rPr>
              <w:t>每</w:t>
            </w:r>
            <w:r>
              <w:rPr>
                <w:rFonts w:cs="宋体"/>
                <w:color w:val="000000"/>
                <w:kern w:val="0"/>
                <w:sz w:val="24"/>
                <w:szCs w:val="24"/>
              </w:rPr>
              <w:t>1个领域</w:t>
            </w:r>
            <w:r>
              <w:rPr>
                <w:rFonts w:hint="eastAsia" w:cs="宋体"/>
                <w:color w:val="000000"/>
                <w:kern w:val="0"/>
                <w:sz w:val="24"/>
                <w:szCs w:val="24"/>
              </w:rPr>
              <w:t>得</w:t>
            </w:r>
            <w:r>
              <w:rPr>
                <w:rFonts w:cs="宋体"/>
                <w:color w:val="000000"/>
                <w:kern w:val="0"/>
                <w:sz w:val="24"/>
                <w:szCs w:val="24"/>
              </w:rPr>
              <w:t>0.5分</w:t>
            </w:r>
            <w:r>
              <w:rPr>
                <w:rFonts w:hint="eastAsia" w:cs="宋体"/>
                <w:color w:val="000000"/>
                <w:kern w:val="0"/>
                <w:sz w:val="24"/>
                <w:szCs w:val="24"/>
              </w:rPr>
              <w:t>；最高得</w:t>
            </w:r>
            <w:r>
              <w:rPr>
                <w:rFonts w:cs="宋体"/>
                <w:color w:val="000000"/>
                <w:kern w:val="0"/>
                <w:sz w:val="24"/>
                <w:szCs w:val="24"/>
              </w:rPr>
              <w:t>7分。</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hint="eastAsia" w:cs="宋体"/>
                <w:color w:val="000000"/>
                <w:kern w:val="0"/>
                <w:sz w:val="24"/>
                <w:szCs w:val="24"/>
              </w:rPr>
            </w:pPr>
            <w:r>
              <w:rPr>
                <w:rFonts w:hint="eastAsia" w:cs="宋体"/>
                <w:color w:val="000000"/>
                <w:kern w:val="0"/>
                <w:sz w:val="24"/>
                <w:szCs w:val="24"/>
              </w:rPr>
              <w:t>7</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cs="宋体"/>
                <w:color w:val="000000"/>
                <w:kern w:val="0"/>
                <w:sz w:val="24"/>
                <w:szCs w:val="24"/>
              </w:rPr>
            </w:pPr>
            <w:r>
              <w:rPr>
                <w:rFonts w:hint="eastAsia" w:cs="宋体"/>
                <w:color w:val="000000"/>
                <w:kern w:val="0"/>
                <w:sz w:val="24"/>
                <w:szCs w:val="24"/>
              </w:rPr>
              <w:t>日常监督</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hint="eastAsia" w:cs="Times New Roman"/>
                <w:color w:val="000000"/>
                <w:kern w:val="0"/>
                <w:sz w:val="24"/>
                <w:szCs w:val="24"/>
              </w:rPr>
            </w:pPr>
            <w:r>
              <w:rPr>
                <w:rFonts w:hint="eastAsia" w:cs="Times New Roman"/>
                <w:color w:val="000000"/>
                <w:sz w:val="24"/>
                <w:szCs w:val="24"/>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firstLine="0" w:firstLineChars="0"/>
              <w:jc w:val="center"/>
              <w:rPr>
                <w:rFonts w:cs="宋体"/>
                <w:color w:val="000000"/>
                <w:kern w:val="0"/>
                <w:sz w:val="24"/>
                <w:szCs w:val="24"/>
              </w:rPr>
            </w:pP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hint="eastAsia"/>
                <w:sz w:val="24"/>
                <w:szCs w:val="24"/>
              </w:rPr>
            </w:pPr>
            <w:r>
              <w:rPr>
                <w:rFonts w:hint="eastAsia" w:cs="宋体"/>
                <w:color w:val="000000"/>
                <w:kern w:val="0"/>
                <w:sz w:val="24"/>
                <w:szCs w:val="24"/>
              </w:rPr>
              <w:t>强化信用评价结果应用</w:t>
            </w:r>
            <w:r>
              <w:rPr>
                <w:rFonts w:hint="eastAsia"/>
                <w:sz w:val="24"/>
                <w:szCs w:val="24"/>
              </w:rPr>
              <w:t>（5分）</w:t>
            </w:r>
          </w:p>
        </w:tc>
        <w:tc>
          <w:tcPr>
            <w:tcW w:w="7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firstLine="0" w:firstLineChars="0"/>
              <w:rPr>
                <w:rFonts w:hint="eastAsia" w:cs="宋体"/>
                <w:color w:val="000000"/>
                <w:kern w:val="0"/>
                <w:sz w:val="24"/>
                <w:szCs w:val="24"/>
              </w:rPr>
            </w:pPr>
            <w:r>
              <w:rPr>
                <w:rFonts w:hint="eastAsia" w:cs="宋体"/>
                <w:color w:val="000000"/>
                <w:kern w:val="0"/>
                <w:sz w:val="24"/>
                <w:szCs w:val="24"/>
              </w:rPr>
              <w:t>在招投标活动中，建立免于信誉审查、提高履约信用分、减免保证金等激励措施制度的，得</w:t>
            </w:r>
            <w:r>
              <w:rPr>
                <w:rFonts w:cs="宋体"/>
                <w:color w:val="000000"/>
                <w:kern w:val="0"/>
                <w:sz w:val="24"/>
                <w:szCs w:val="24"/>
              </w:rPr>
              <w:t>1分；在“双随机一公开”检查中，依据公路水运</w:t>
            </w:r>
            <w:r>
              <w:rPr>
                <w:rFonts w:hint="eastAsia" w:cs="宋体"/>
                <w:color w:val="000000"/>
                <w:kern w:val="0"/>
                <w:sz w:val="24"/>
                <w:szCs w:val="24"/>
              </w:rPr>
              <w:t>工程勘察设计、</w:t>
            </w:r>
            <w:r>
              <w:rPr>
                <w:rFonts w:cs="宋体"/>
                <w:color w:val="000000"/>
                <w:kern w:val="0"/>
                <w:sz w:val="24"/>
                <w:szCs w:val="24"/>
              </w:rPr>
              <w:t>施工、监理、试验</w:t>
            </w:r>
            <w:r>
              <w:rPr>
                <w:rFonts w:hint="eastAsia" w:cs="宋体"/>
                <w:color w:val="000000"/>
                <w:kern w:val="0"/>
                <w:sz w:val="24"/>
                <w:szCs w:val="24"/>
              </w:rPr>
              <w:t>检</w:t>
            </w:r>
            <w:r>
              <w:rPr>
                <w:rFonts w:cs="宋体"/>
                <w:color w:val="000000"/>
                <w:kern w:val="0"/>
                <w:sz w:val="24"/>
                <w:szCs w:val="24"/>
              </w:rPr>
              <w:t>测等领域信用评价结果，采取差异化监管措施的，</w:t>
            </w:r>
            <w:r>
              <w:rPr>
                <w:rFonts w:hint="eastAsia" w:cs="宋体"/>
                <w:color w:val="000000"/>
                <w:kern w:val="0"/>
                <w:sz w:val="24"/>
                <w:szCs w:val="24"/>
              </w:rPr>
              <w:t>每1</w:t>
            </w:r>
            <w:r>
              <w:rPr>
                <w:rFonts w:cs="宋体"/>
                <w:color w:val="000000"/>
                <w:kern w:val="0"/>
                <w:sz w:val="24"/>
                <w:szCs w:val="24"/>
              </w:rPr>
              <w:t>个领域</w:t>
            </w:r>
            <w:r>
              <w:rPr>
                <w:rFonts w:hint="eastAsia" w:cs="宋体"/>
                <w:color w:val="000000"/>
                <w:kern w:val="0"/>
                <w:sz w:val="24"/>
                <w:szCs w:val="24"/>
              </w:rPr>
              <w:t>得1</w:t>
            </w:r>
            <w:r>
              <w:rPr>
                <w:rFonts w:cs="宋体"/>
                <w:color w:val="000000"/>
                <w:kern w:val="0"/>
                <w:sz w:val="24"/>
                <w:szCs w:val="24"/>
              </w:rPr>
              <w:t>分</w:t>
            </w:r>
            <w:r>
              <w:rPr>
                <w:rFonts w:hint="eastAsia" w:cs="宋体"/>
                <w:color w:val="000000"/>
                <w:kern w:val="0"/>
                <w:sz w:val="24"/>
                <w:szCs w:val="24"/>
              </w:rPr>
              <w:t>；最高得5分</w:t>
            </w:r>
            <w:r>
              <w:rPr>
                <w:rFonts w:cs="宋体"/>
                <w:color w:val="000000"/>
                <w:kern w:val="0"/>
                <w:sz w:val="24"/>
                <w:szCs w:val="24"/>
              </w:rPr>
              <w:t>。</w:t>
            </w:r>
          </w:p>
        </w:tc>
        <w:tc>
          <w:tcPr>
            <w:tcW w:w="70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auto"/>
              <w:ind w:firstLine="0" w:firstLineChars="0"/>
              <w:jc w:val="center"/>
              <w:rPr>
                <w:rFonts w:cs="宋体"/>
                <w:color w:val="000000"/>
                <w:kern w:val="0"/>
                <w:sz w:val="24"/>
                <w:szCs w:val="24"/>
              </w:rPr>
            </w:pPr>
            <w:r>
              <w:rPr>
                <w:rFonts w:cs="宋体"/>
                <w:color w:val="000000"/>
                <w:kern w:val="0"/>
                <w:sz w:val="24"/>
                <w:szCs w:val="24"/>
              </w:rPr>
              <w:t>5</w:t>
            </w:r>
          </w:p>
        </w:tc>
        <w:tc>
          <w:tcPr>
            <w:tcW w:w="12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spacing w:line="240" w:lineRule="auto"/>
              <w:ind w:firstLine="0" w:firstLineChars="0"/>
              <w:jc w:val="center"/>
              <w:rPr>
                <w:rFonts w:hint="eastAsia" w:cs="宋体"/>
                <w:color w:val="000000"/>
                <w:kern w:val="0"/>
                <w:sz w:val="24"/>
                <w:szCs w:val="24"/>
              </w:rPr>
            </w:pPr>
            <w:r>
              <w:rPr>
                <w:rFonts w:hint="eastAsia" w:cs="宋体"/>
                <w:color w:val="000000"/>
                <w:kern w:val="0"/>
                <w:sz w:val="24"/>
                <w:szCs w:val="24"/>
              </w:rPr>
              <w:t>地市报送、日常监督</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hint="eastAsia" w:cs="Times New Roman"/>
                <w:color w:val="000000"/>
                <w:kern w:val="0"/>
                <w:sz w:val="24"/>
                <w:szCs w:val="24"/>
              </w:rPr>
            </w:pPr>
            <w:r>
              <w:rPr>
                <w:rFonts w:hint="eastAsia" w:cs="Times New Roman"/>
                <w:color w:val="000000"/>
                <w:sz w:val="24"/>
                <w:szCs w:val="24"/>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firstLine="0" w:firstLineChars="0"/>
              <w:jc w:val="center"/>
              <w:rPr>
                <w:rFonts w:cs="宋体"/>
                <w:color w:val="000000"/>
                <w:kern w:val="0"/>
                <w:sz w:val="24"/>
                <w:szCs w:val="24"/>
              </w:rPr>
            </w:pP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firstLine="0" w:firstLineChars="0"/>
              <w:jc w:val="center"/>
              <w:rPr>
                <w:rFonts w:hint="eastAsia"/>
                <w:sz w:val="24"/>
                <w:szCs w:val="24"/>
              </w:rPr>
            </w:pPr>
            <w:r>
              <w:rPr>
                <w:rFonts w:hint="eastAsia" w:cs="宋体"/>
                <w:color w:val="000000"/>
                <w:kern w:val="0"/>
                <w:sz w:val="24"/>
                <w:szCs w:val="24"/>
              </w:rPr>
              <w:t>严格招投标活动 行政监督</w:t>
            </w:r>
            <w:r>
              <w:rPr>
                <w:rFonts w:hint="eastAsia"/>
                <w:sz w:val="24"/>
                <w:szCs w:val="24"/>
              </w:rPr>
              <w:t>（</w:t>
            </w:r>
            <w:r>
              <w:rPr>
                <w:sz w:val="24"/>
                <w:szCs w:val="24"/>
              </w:rPr>
              <w:t>4</w:t>
            </w:r>
            <w:r>
              <w:rPr>
                <w:rFonts w:hint="eastAsia"/>
                <w:sz w:val="24"/>
                <w:szCs w:val="24"/>
              </w:rPr>
              <w:t>分）</w:t>
            </w:r>
          </w:p>
        </w:tc>
        <w:tc>
          <w:tcPr>
            <w:tcW w:w="7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firstLine="0" w:firstLineChars="0"/>
              <w:rPr>
                <w:rFonts w:hint="eastAsia" w:cs="宋体"/>
                <w:color w:val="000000"/>
                <w:kern w:val="0"/>
                <w:sz w:val="24"/>
                <w:szCs w:val="24"/>
              </w:rPr>
            </w:pPr>
            <w:r>
              <w:rPr>
                <w:rFonts w:hint="eastAsia" w:cs="宋体"/>
                <w:color w:val="000000"/>
                <w:kern w:val="0"/>
                <w:sz w:val="24"/>
                <w:szCs w:val="24"/>
              </w:rPr>
              <w:t>做好招投标有关文件备案的，得</w:t>
            </w:r>
            <w:r>
              <w:rPr>
                <w:rFonts w:cs="宋体"/>
                <w:color w:val="000000"/>
                <w:kern w:val="0"/>
                <w:sz w:val="24"/>
                <w:szCs w:val="24"/>
              </w:rPr>
              <w:t>1分；</w:t>
            </w:r>
            <w:r>
              <w:rPr>
                <w:rFonts w:hint="eastAsia" w:cs="宋体"/>
                <w:color w:val="000000"/>
                <w:kern w:val="0"/>
                <w:sz w:val="24"/>
                <w:szCs w:val="24"/>
              </w:rPr>
              <w:t>做好</w:t>
            </w:r>
            <w:r>
              <w:rPr>
                <w:rFonts w:cs="宋体"/>
                <w:color w:val="000000"/>
                <w:kern w:val="0"/>
                <w:sz w:val="24"/>
                <w:szCs w:val="24"/>
              </w:rPr>
              <w:t>开标评标活动现场行政监督</w:t>
            </w:r>
            <w:r>
              <w:rPr>
                <w:rFonts w:hint="eastAsia" w:cs="宋体"/>
                <w:color w:val="000000"/>
                <w:kern w:val="0"/>
                <w:sz w:val="24"/>
                <w:szCs w:val="24"/>
              </w:rPr>
              <w:t>工作</w:t>
            </w:r>
            <w:r>
              <w:rPr>
                <w:rFonts w:cs="宋体"/>
                <w:color w:val="000000"/>
                <w:kern w:val="0"/>
                <w:sz w:val="24"/>
                <w:szCs w:val="24"/>
              </w:rPr>
              <w:t>的，</w:t>
            </w:r>
            <w:r>
              <w:rPr>
                <w:rFonts w:hint="eastAsia" w:cs="宋体"/>
                <w:color w:val="000000"/>
                <w:kern w:val="0"/>
                <w:sz w:val="24"/>
                <w:szCs w:val="24"/>
              </w:rPr>
              <w:t>得</w:t>
            </w:r>
            <w:r>
              <w:rPr>
                <w:rFonts w:cs="宋体"/>
                <w:color w:val="000000"/>
                <w:kern w:val="0"/>
                <w:sz w:val="24"/>
                <w:szCs w:val="24"/>
              </w:rPr>
              <w:t>1分；及时对招标投标活动的投诉开展调查处理工作的，</w:t>
            </w:r>
            <w:r>
              <w:rPr>
                <w:rFonts w:hint="eastAsia" w:cs="宋体"/>
                <w:color w:val="000000"/>
                <w:kern w:val="0"/>
                <w:sz w:val="24"/>
                <w:szCs w:val="24"/>
              </w:rPr>
              <w:t>得</w:t>
            </w:r>
            <w:r>
              <w:rPr>
                <w:rFonts w:cs="宋体"/>
                <w:color w:val="000000"/>
                <w:kern w:val="0"/>
                <w:sz w:val="24"/>
                <w:szCs w:val="24"/>
              </w:rPr>
              <w:t>1分；定期对县（区）交通运输部门招投标监督工作开展检查的，</w:t>
            </w:r>
            <w:r>
              <w:rPr>
                <w:rFonts w:hint="eastAsia" w:cs="宋体"/>
                <w:color w:val="000000"/>
                <w:kern w:val="0"/>
                <w:sz w:val="24"/>
                <w:szCs w:val="24"/>
              </w:rPr>
              <w:t>得</w:t>
            </w:r>
            <w:r>
              <w:rPr>
                <w:rFonts w:cs="宋体"/>
                <w:color w:val="000000"/>
                <w:kern w:val="0"/>
                <w:sz w:val="24"/>
                <w:szCs w:val="24"/>
              </w:rPr>
              <w:t>1分</w:t>
            </w:r>
            <w:r>
              <w:rPr>
                <w:rFonts w:hint="eastAsia" w:cs="宋体"/>
                <w:color w:val="000000"/>
                <w:kern w:val="0"/>
                <w:sz w:val="24"/>
                <w:szCs w:val="24"/>
              </w:rPr>
              <w:t>；最高得</w:t>
            </w:r>
            <w:r>
              <w:rPr>
                <w:rFonts w:cs="宋体"/>
                <w:color w:val="000000"/>
                <w:kern w:val="0"/>
                <w:sz w:val="24"/>
                <w:szCs w:val="24"/>
              </w:rPr>
              <w:t>4分。</w:t>
            </w:r>
          </w:p>
        </w:tc>
        <w:tc>
          <w:tcPr>
            <w:tcW w:w="70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auto"/>
              <w:ind w:firstLine="0" w:firstLineChars="0"/>
              <w:jc w:val="center"/>
              <w:rPr>
                <w:rFonts w:hint="eastAsia" w:cs="宋体"/>
                <w:color w:val="000000"/>
                <w:kern w:val="0"/>
                <w:sz w:val="24"/>
                <w:szCs w:val="24"/>
              </w:rPr>
            </w:pPr>
            <w:r>
              <w:rPr>
                <w:rFonts w:cs="宋体"/>
                <w:color w:val="000000"/>
                <w:kern w:val="0"/>
                <w:sz w:val="24"/>
                <w:szCs w:val="24"/>
              </w:rPr>
              <w:t>4</w:t>
            </w:r>
          </w:p>
        </w:tc>
        <w:tc>
          <w:tcPr>
            <w:tcW w:w="12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spacing w:line="240" w:lineRule="auto"/>
              <w:ind w:firstLine="0" w:firstLineChars="0"/>
              <w:jc w:val="center"/>
              <w:rPr>
                <w:rFonts w:hint="eastAsia" w:cs="宋体"/>
                <w:color w:val="000000"/>
                <w:kern w:val="0"/>
                <w:sz w:val="24"/>
                <w:szCs w:val="24"/>
              </w:rPr>
            </w:pPr>
            <w:r>
              <w:rPr>
                <w:rFonts w:hint="eastAsia" w:cs="宋体"/>
                <w:color w:val="000000"/>
                <w:kern w:val="0"/>
                <w:sz w:val="24"/>
                <w:szCs w:val="24"/>
              </w:rPr>
              <w:t>地市报送、抽查检查</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hint="eastAsia" w:cs="Times New Roman"/>
                <w:color w:val="000000"/>
                <w:kern w:val="0"/>
                <w:sz w:val="24"/>
                <w:szCs w:val="24"/>
              </w:rPr>
            </w:pPr>
            <w:r>
              <w:rPr>
                <w:rFonts w:hint="eastAsia" w:cs="Times New Roman"/>
                <w:color w:val="000000"/>
                <w:sz w:val="24"/>
                <w:szCs w:val="24"/>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firstLine="0" w:firstLineChars="0"/>
              <w:jc w:val="center"/>
              <w:rPr>
                <w:rFonts w:hint="eastAsia" w:cs="宋体"/>
                <w:color w:val="000000"/>
                <w:kern w:val="0"/>
                <w:sz w:val="24"/>
                <w:szCs w:val="24"/>
              </w:rPr>
            </w:pPr>
            <w:r>
              <w:rPr>
                <w:rFonts w:hint="eastAsia" w:cs="宋体"/>
                <w:color w:val="000000"/>
                <w:kern w:val="0"/>
                <w:sz w:val="24"/>
                <w:szCs w:val="24"/>
              </w:rPr>
              <w:t>道路运输领域</w:t>
            </w:r>
          </w:p>
          <w:p>
            <w:pPr>
              <w:widowControl/>
              <w:spacing w:line="240" w:lineRule="auto"/>
              <w:ind w:firstLine="0" w:firstLineChars="0"/>
              <w:jc w:val="center"/>
              <w:rPr>
                <w:rFonts w:hint="eastAsia" w:cs="宋体"/>
                <w:color w:val="000000"/>
                <w:kern w:val="0"/>
                <w:sz w:val="24"/>
                <w:szCs w:val="24"/>
              </w:rPr>
            </w:pPr>
            <w:r>
              <w:rPr>
                <w:rFonts w:hint="eastAsia" w:cs="宋体"/>
                <w:color w:val="000000"/>
                <w:kern w:val="0"/>
                <w:sz w:val="24"/>
                <w:szCs w:val="24"/>
              </w:rPr>
              <w:t>（31分）</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firstLine="0" w:firstLineChars="0"/>
              <w:jc w:val="center"/>
              <w:rPr>
                <w:rFonts w:hint="eastAsia"/>
                <w:sz w:val="24"/>
                <w:szCs w:val="24"/>
              </w:rPr>
            </w:pPr>
            <w:r>
              <w:rPr>
                <w:rFonts w:hint="eastAsia" w:cs="宋体"/>
                <w:color w:val="000000"/>
                <w:kern w:val="0"/>
                <w:sz w:val="24"/>
                <w:szCs w:val="24"/>
              </w:rPr>
              <w:t>加强道路客运市场信用管理</w:t>
            </w:r>
            <w:r>
              <w:rPr>
                <w:rFonts w:hint="eastAsia"/>
                <w:sz w:val="24"/>
                <w:szCs w:val="24"/>
              </w:rPr>
              <w:t>（2分）</w:t>
            </w:r>
          </w:p>
        </w:tc>
        <w:tc>
          <w:tcPr>
            <w:tcW w:w="7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firstLine="0" w:firstLineChars="0"/>
              <w:rPr>
                <w:rFonts w:hint="eastAsia" w:cs="宋体"/>
                <w:color w:val="000000"/>
                <w:kern w:val="0"/>
                <w:sz w:val="24"/>
                <w:szCs w:val="24"/>
              </w:rPr>
            </w:pPr>
            <w:r>
              <w:rPr>
                <w:rFonts w:hint="eastAsia" w:cs="宋体"/>
                <w:color w:val="000000"/>
                <w:kern w:val="0"/>
                <w:sz w:val="24"/>
                <w:szCs w:val="24"/>
              </w:rPr>
              <w:t>实施道路旅客运输站经营许可告知承诺的，得</w:t>
            </w:r>
            <w:r>
              <w:rPr>
                <w:rFonts w:cs="宋体"/>
                <w:color w:val="000000"/>
                <w:kern w:val="0"/>
                <w:sz w:val="24"/>
                <w:szCs w:val="24"/>
              </w:rPr>
              <w:t>1分</w:t>
            </w:r>
            <w:r>
              <w:rPr>
                <w:rFonts w:hint="eastAsia" w:cs="宋体"/>
                <w:color w:val="000000"/>
                <w:kern w:val="0"/>
                <w:sz w:val="24"/>
                <w:szCs w:val="24"/>
              </w:rPr>
              <w:t>；</w:t>
            </w:r>
            <w:r>
              <w:rPr>
                <w:rFonts w:cs="宋体"/>
                <w:color w:val="000000"/>
                <w:kern w:val="0"/>
                <w:sz w:val="24"/>
                <w:szCs w:val="24"/>
              </w:rPr>
              <w:t>否则，不得分。</w:t>
            </w:r>
          </w:p>
        </w:tc>
        <w:tc>
          <w:tcPr>
            <w:tcW w:w="70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auto"/>
              <w:ind w:firstLine="0" w:firstLineChars="0"/>
              <w:jc w:val="center"/>
              <w:rPr>
                <w:rFonts w:hint="eastAsia" w:cs="宋体"/>
                <w:color w:val="000000"/>
                <w:kern w:val="0"/>
                <w:sz w:val="24"/>
                <w:szCs w:val="24"/>
              </w:rPr>
            </w:pPr>
            <w:r>
              <w:rPr>
                <w:rFonts w:cs="宋体"/>
                <w:color w:val="000000"/>
                <w:kern w:val="0"/>
                <w:sz w:val="24"/>
                <w:szCs w:val="24"/>
              </w:rPr>
              <w:t>1</w:t>
            </w:r>
          </w:p>
        </w:tc>
        <w:tc>
          <w:tcPr>
            <w:tcW w:w="12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spacing w:line="240" w:lineRule="auto"/>
              <w:ind w:firstLine="0" w:firstLineChars="0"/>
              <w:jc w:val="center"/>
              <w:rPr>
                <w:rFonts w:hint="eastAsia" w:cs="宋体"/>
                <w:color w:val="000000"/>
                <w:kern w:val="0"/>
                <w:sz w:val="24"/>
                <w:szCs w:val="24"/>
              </w:rPr>
            </w:pPr>
            <w:r>
              <w:rPr>
                <w:rFonts w:hint="eastAsia" w:cs="宋体"/>
                <w:color w:val="000000"/>
                <w:kern w:val="0"/>
                <w:sz w:val="24"/>
                <w:szCs w:val="24"/>
              </w:rPr>
              <w:t>地市报送、抽查检查</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hint="eastAsia" w:cs="Times New Roman"/>
                <w:color w:val="000000"/>
                <w:kern w:val="0"/>
                <w:sz w:val="24"/>
                <w:szCs w:val="24"/>
              </w:rPr>
            </w:pPr>
            <w:r>
              <w:rPr>
                <w:rFonts w:hint="eastAsia" w:cs="Times New Roman"/>
                <w:color w:val="000000"/>
                <w:sz w:val="24"/>
                <w:szCs w:val="24"/>
              </w:rPr>
              <w:t>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firstLine="0" w:firstLineChars="0"/>
              <w:jc w:val="center"/>
              <w:rPr>
                <w:rFonts w:cs="宋体"/>
                <w:color w:val="000000"/>
                <w:kern w:val="0"/>
                <w:sz w:val="24"/>
                <w:szCs w:val="24"/>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firstLine="0" w:firstLineChars="0"/>
              <w:jc w:val="center"/>
              <w:rPr>
                <w:rFonts w:cs="宋体"/>
                <w:color w:val="000000"/>
                <w:kern w:val="0"/>
                <w:sz w:val="24"/>
                <w:szCs w:val="24"/>
              </w:rPr>
            </w:pPr>
          </w:p>
        </w:tc>
        <w:tc>
          <w:tcPr>
            <w:tcW w:w="7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firstLine="0" w:firstLineChars="0"/>
              <w:rPr>
                <w:rFonts w:hint="eastAsia" w:cs="宋体"/>
                <w:color w:val="000000"/>
                <w:kern w:val="0"/>
                <w:sz w:val="24"/>
                <w:szCs w:val="24"/>
              </w:rPr>
            </w:pPr>
            <w:r>
              <w:rPr>
                <w:rFonts w:hint="eastAsia" w:cs="宋体"/>
                <w:color w:val="000000"/>
                <w:kern w:val="0"/>
                <w:sz w:val="24"/>
                <w:szCs w:val="24"/>
              </w:rPr>
              <w:t>本地企业全面落实运输服务质量、拟投入车辆和聘用驾驶员等承诺事项的，得</w:t>
            </w:r>
            <w:r>
              <w:rPr>
                <w:rFonts w:cs="宋体"/>
                <w:color w:val="000000"/>
                <w:kern w:val="0"/>
                <w:sz w:val="24"/>
                <w:szCs w:val="24"/>
              </w:rPr>
              <w:t>1分</w:t>
            </w:r>
            <w:r>
              <w:rPr>
                <w:rFonts w:hint="eastAsia" w:cs="宋体"/>
                <w:color w:val="000000"/>
                <w:kern w:val="0"/>
                <w:sz w:val="24"/>
                <w:szCs w:val="24"/>
              </w:rPr>
              <w:t>；</w:t>
            </w:r>
            <w:r>
              <w:rPr>
                <w:rFonts w:cs="宋体"/>
                <w:color w:val="000000"/>
                <w:kern w:val="0"/>
                <w:sz w:val="24"/>
                <w:szCs w:val="24"/>
              </w:rPr>
              <w:t>否则，不得分。</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firstLine="0" w:firstLineChars="0"/>
              <w:jc w:val="center"/>
              <w:rPr>
                <w:rFonts w:hint="eastAsia" w:cs="宋体"/>
                <w:color w:val="000000"/>
                <w:kern w:val="0"/>
                <w:sz w:val="24"/>
                <w:szCs w:val="24"/>
              </w:rPr>
            </w:pPr>
            <w:r>
              <w:rPr>
                <w:rFonts w:cs="宋体"/>
                <w:color w:val="000000"/>
                <w:kern w:val="0"/>
                <w:sz w:val="24"/>
                <w:szCs w:val="24"/>
              </w:rPr>
              <w:t>1</w:t>
            </w:r>
          </w:p>
        </w:tc>
        <w:tc>
          <w:tcPr>
            <w:tcW w:w="12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spacing w:line="240" w:lineRule="auto"/>
              <w:ind w:firstLine="0" w:firstLineChars="0"/>
              <w:jc w:val="center"/>
              <w:rPr>
                <w:rFonts w:hint="eastAsia" w:cs="宋体"/>
                <w:color w:val="000000"/>
                <w:kern w:val="0"/>
                <w:sz w:val="24"/>
                <w:szCs w:val="24"/>
              </w:rPr>
            </w:pPr>
            <w:r>
              <w:rPr>
                <w:rFonts w:hint="eastAsia" w:cs="宋体"/>
                <w:color w:val="000000"/>
                <w:kern w:val="0"/>
                <w:sz w:val="24"/>
                <w:szCs w:val="24"/>
              </w:rPr>
              <w:t>地市报送、抽查检查</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hint="eastAsia" w:cs="Times New Roman"/>
                <w:color w:val="000000"/>
                <w:kern w:val="0"/>
                <w:sz w:val="24"/>
                <w:szCs w:val="24"/>
              </w:rPr>
            </w:pPr>
            <w:r>
              <w:rPr>
                <w:rFonts w:hint="eastAsia" w:cs="Times New Roman"/>
                <w:color w:val="000000"/>
                <w:sz w:val="24"/>
                <w:szCs w:val="24"/>
              </w:rPr>
              <w:t>8</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cs="宋体"/>
                <w:color w:val="000000"/>
                <w:kern w:val="0"/>
                <w:sz w:val="24"/>
                <w:szCs w:val="24"/>
              </w:rPr>
            </w:pPr>
          </w:p>
        </w:tc>
        <w:tc>
          <w:tcPr>
            <w:tcW w:w="225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sz w:val="24"/>
                <w:szCs w:val="24"/>
              </w:rPr>
            </w:pPr>
            <w:r>
              <w:rPr>
                <w:rFonts w:hint="eastAsia" w:cs="宋体"/>
                <w:color w:val="000000"/>
                <w:kern w:val="0"/>
                <w:sz w:val="24"/>
                <w:szCs w:val="24"/>
              </w:rPr>
              <w:t>推进道路货运监管信息化</w:t>
            </w:r>
            <w:r>
              <w:rPr>
                <w:rFonts w:hint="eastAsia"/>
                <w:sz w:val="24"/>
                <w:szCs w:val="24"/>
              </w:rPr>
              <w:t>（8分）</w:t>
            </w:r>
          </w:p>
        </w:tc>
        <w:tc>
          <w:tcPr>
            <w:tcW w:w="76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rPr>
                <w:rFonts w:hint="eastAsia" w:cs="宋体"/>
                <w:color w:val="000000"/>
                <w:kern w:val="0"/>
                <w:sz w:val="24"/>
                <w:szCs w:val="24"/>
              </w:rPr>
            </w:pPr>
            <w:r>
              <w:rPr>
                <w:rFonts w:hint="eastAsia" w:cs="宋体"/>
                <w:color w:val="000000"/>
                <w:kern w:val="0"/>
                <w:sz w:val="24"/>
                <w:szCs w:val="24"/>
              </w:rPr>
              <w:t>实施道路货物运输经营许可告知承诺的，得</w:t>
            </w:r>
            <w:r>
              <w:rPr>
                <w:rFonts w:cs="宋体"/>
                <w:color w:val="000000"/>
                <w:kern w:val="0"/>
                <w:sz w:val="24"/>
                <w:szCs w:val="24"/>
              </w:rPr>
              <w:t>1分</w:t>
            </w:r>
            <w:r>
              <w:rPr>
                <w:rFonts w:hint="eastAsia" w:cs="宋体"/>
                <w:color w:val="000000"/>
                <w:kern w:val="0"/>
                <w:sz w:val="24"/>
                <w:szCs w:val="24"/>
              </w:rPr>
              <w:t>；</w:t>
            </w:r>
            <w:r>
              <w:rPr>
                <w:rFonts w:cs="宋体"/>
                <w:color w:val="000000"/>
                <w:kern w:val="0"/>
                <w:sz w:val="24"/>
                <w:szCs w:val="24"/>
              </w:rPr>
              <w:t>否则，不得分。</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cs="宋体"/>
                <w:color w:val="000000"/>
                <w:kern w:val="0"/>
                <w:sz w:val="24"/>
                <w:szCs w:val="24"/>
              </w:rPr>
            </w:pPr>
            <w:r>
              <w:rPr>
                <w:rFonts w:cs="宋体"/>
                <w:color w:val="000000"/>
                <w:kern w:val="0"/>
                <w:sz w:val="24"/>
                <w:szCs w:val="24"/>
              </w:rPr>
              <w:t>1</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cs="宋体"/>
                <w:color w:val="000000"/>
                <w:kern w:val="0"/>
                <w:sz w:val="24"/>
                <w:szCs w:val="24"/>
              </w:rPr>
            </w:pPr>
            <w:r>
              <w:rPr>
                <w:rFonts w:hint="eastAsia" w:cs="宋体"/>
                <w:color w:val="000000"/>
                <w:kern w:val="0"/>
                <w:sz w:val="24"/>
                <w:szCs w:val="24"/>
              </w:rPr>
              <w:t>地市报送、抽查检查</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hint="eastAsia" w:cs="Times New Roman"/>
                <w:color w:val="000000"/>
                <w:kern w:val="0"/>
                <w:sz w:val="24"/>
                <w:szCs w:val="24"/>
              </w:rPr>
            </w:pPr>
            <w:r>
              <w:rPr>
                <w:rFonts w:hint="eastAsia" w:cs="Times New Roman"/>
                <w:color w:val="000000"/>
                <w:sz w:val="24"/>
                <w:szCs w:val="24"/>
              </w:rPr>
              <w:t>9</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cs="宋体"/>
                <w:color w:val="000000"/>
                <w:kern w:val="0"/>
                <w:sz w:val="24"/>
                <w:szCs w:val="24"/>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cs="宋体"/>
                <w:color w:val="000000"/>
                <w:kern w:val="0"/>
                <w:sz w:val="24"/>
                <w:szCs w:val="24"/>
              </w:rPr>
            </w:pPr>
          </w:p>
        </w:tc>
        <w:tc>
          <w:tcPr>
            <w:tcW w:w="76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rPr>
                <w:rFonts w:hint="eastAsia" w:cs="宋体"/>
                <w:color w:val="000000"/>
                <w:kern w:val="0"/>
                <w:sz w:val="24"/>
                <w:szCs w:val="24"/>
              </w:rPr>
            </w:pPr>
            <w:r>
              <w:rPr>
                <w:rFonts w:hint="eastAsia" w:cs="宋体"/>
                <w:color w:val="000000"/>
                <w:kern w:val="0"/>
                <w:sz w:val="24"/>
                <w:szCs w:val="24"/>
              </w:rPr>
              <w:t>按照普货车辆智能视频监控设备推广安装比例全省排名从高到低得分：第</w:t>
            </w:r>
            <w:r>
              <w:rPr>
                <w:rFonts w:cs="宋体"/>
                <w:color w:val="000000"/>
                <w:kern w:val="0"/>
                <w:sz w:val="24"/>
                <w:szCs w:val="24"/>
              </w:rPr>
              <w:t>1-5名，得2分；第6-13名，得1分；第14-18名，不得分。</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cs="宋体"/>
                <w:color w:val="000000"/>
                <w:kern w:val="0"/>
                <w:sz w:val="24"/>
                <w:szCs w:val="24"/>
              </w:rPr>
            </w:pPr>
            <w:r>
              <w:rPr>
                <w:rFonts w:cs="宋体"/>
                <w:color w:val="000000"/>
                <w:kern w:val="0"/>
                <w:sz w:val="24"/>
                <w:szCs w:val="24"/>
              </w:rPr>
              <w:t>2</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cs="宋体"/>
                <w:color w:val="000000"/>
                <w:kern w:val="0"/>
                <w:sz w:val="24"/>
                <w:szCs w:val="24"/>
              </w:rPr>
            </w:pPr>
            <w:r>
              <w:rPr>
                <w:rFonts w:hint="eastAsia" w:cs="宋体"/>
                <w:color w:val="000000"/>
                <w:kern w:val="0"/>
                <w:sz w:val="24"/>
                <w:szCs w:val="24"/>
              </w:rPr>
              <w:t>地市报送、抽查检查</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cs="Times New Roman"/>
                <w:color w:val="000000"/>
                <w:kern w:val="0"/>
                <w:sz w:val="24"/>
                <w:szCs w:val="24"/>
              </w:rPr>
            </w:pPr>
            <w:r>
              <w:rPr>
                <w:rFonts w:hint="eastAsia" w:cs="Times New Roman"/>
                <w:color w:val="000000"/>
                <w:sz w:val="24"/>
                <w:szCs w:val="24"/>
              </w:rPr>
              <w:t>10</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cs="宋体"/>
                <w:color w:val="000000"/>
                <w:kern w:val="0"/>
                <w:sz w:val="24"/>
                <w:szCs w:val="24"/>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cs="宋体"/>
                <w:color w:val="000000"/>
                <w:kern w:val="0"/>
                <w:sz w:val="24"/>
                <w:szCs w:val="24"/>
              </w:rPr>
            </w:pPr>
          </w:p>
        </w:tc>
        <w:tc>
          <w:tcPr>
            <w:tcW w:w="76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rPr>
                <w:rFonts w:hint="eastAsia" w:cs="宋体"/>
                <w:color w:val="000000"/>
                <w:kern w:val="0"/>
                <w:sz w:val="24"/>
                <w:szCs w:val="24"/>
              </w:rPr>
            </w:pPr>
            <w:r>
              <w:rPr>
                <w:rFonts w:hint="eastAsia" w:cs="宋体"/>
                <w:color w:val="000000"/>
                <w:kern w:val="0"/>
                <w:sz w:val="24"/>
                <w:szCs w:val="24"/>
              </w:rPr>
              <w:t>辖区危货道路运输车辆电子运单年覆盖率达到95%以上</w:t>
            </w:r>
            <w:r>
              <w:rPr>
                <w:rFonts w:cs="宋体"/>
                <w:color w:val="000000"/>
                <w:kern w:val="0"/>
                <w:sz w:val="24"/>
                <w:szCs w:val="24"/>
              </w:rPr>
              <w:t>的，</w:t>
            </w:r>
            <w:r>
              <w:rPr>
                <w:rFonts w:hint="eastAsia" w:cs="宋体"/>
                <w:color w:val="000000"/>
                <w:kern w:val="0"/>
                <w:sz w:val="24"/>
                <w:szCs w:val="24"/>
              </w:rPr>
              <w:t>得2分；否则，不得分</w:t>
            </w:r>
            <w:r>
              <w:rPr>
                <w:rFonts w:cs="宋体"/>
                <w:color w:val="000000"/>
                <w:kern w:val="0"/>
                <w:sz w:val="24"/>
                <w:szCs w:val="24"/>
              </w:rPr>
              <w:t>。</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cs="宋体"/>
                <w:color w:val="000000"/>
                <w:kern w:val="0"/>
                <w:sz w:val="24"/>
                <w:szCs w:val="24"/>
              </w:rPr>
            </w:pPr>
            <w:r>
              <w:rPr>
                <w:rFonts w:cs="宋体"/>
                <w:color w:val="000000"/>
                <w:kern w:val="0"/>
                <w:sz w:val="24"/>
                <w:szCs w:val="24"/>
              </w:rPr>
              <w:t>2</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cs="宋体"/>
                <w:color w:val="000000"/>
                <w:kern w:val="0"/>
                <w:sz w:val="24"/>
                <w:szCs w:val="24"/>
              </w:rPr>
            </w:pPr>
            <w:r>
              <w:rPr>
                <w:rFonts w:hint="eastAsia" w:cs="宋体"/>
                <w:color w:val="000000"/>
                <w:kern w:val="0"/>
                <w:sz w:val="24"/>
                <w:szCs w:val="24"/>
              </w:rPr>
              <w:t>平台监测</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cs="Times New Roman"/>
                <w:color w:val="000000"/>
                <w:kern w:val="0"/>
                <w:sz w:val="24"/>
                <w:szCs w:val="24"/>
              </w:rPr>
            </w:pPr>
            <w:r>
              <w:rPr>
                <w:rFonts w:hint="eastAsia" w:cs="Times New Roman"/>
                <w:color w:val="000000"/>
                <w:sz w:val="24"/>
                <w:szCs w:val="24"/>
              </w:rPr>
              <w:t>11</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cs="宋体"/>
                <w:color w:val="000000"/>
                <w:kern w:val="0"/>
                <w:sz w:val="24"/>
                <w:szCs w:val="24"/>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cs="宋体"/>
                <w:color w:val="000000"/>
                <w:kern w:val="0"/>
                <w:sz w:val="24"/>
                <w:szCs w:val="24"/>
              </w:rPr>
            </w:pPr>
          </w:p>
        </w:tc>
        <w:tc>
          <w:tcPr>
            <w:tcW w:w="76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rPr>
                <w:rFonts w:hint="eastAsia" w:cs="宋体"/>
                <w:color w:val="000000"/>
                <w:kern w:val="0"/>
                <w:sz w:val="24"/>
                <w:szCs w:val="24"/>
              </w:rPr>
            </w:pPr>
            <w:r>
              <w:rPr>
                <w:rFonts w:hint="eastAsia" w:cs="宋体"/>
                <w:color w:val="000000"/>
                <w:kern w:val="0"/>
                <w:sz w:val="24"/>
                <w:szCs w:val="24"/>
              </w:rPr>
              <w:t>辖区所有网络货运企业实时准确上传运单的，得3分；</w:t>
            </w:r>
            <w:r>
              <w:rPr>
                <w:rFonts w:cs="宋体"/>
                <w:color w:val="000000"/>
                <w:kern w:val="0"/>
                <w:sz w:val="24"/>
                <w:szCs w:val="24"/>
              </w:rPr>
              <w:t>每有1家</w:t>
            </w:r>
            <w:r>
              <w:rPr>
                <w:rFonts w:hint="eastAsia" w:cs="宋体"/>
                <w:color w:val="000000"/>
                <w:kern w:val="0"/>
                <w:sz w:val="24"/>
                <w:szCs w:val="24"/>
              </w:rPr>
              <w:t>企业连续</w:t>
            </w:r>
            <w:r>
              <w:rPr>
                <w:rFonts w:cs="宋体"/>
                <w:color w:val="000000"/>
                <w:kern w:val="0"/>
                <w:sz w:val="24"/>
                <w:szCs w:val="24"/>
              </w:rPr>
              <w:t>6个月未上传运单的</w:t>
            </w:r>
            <w:r>
              <w:rPr>
                <w:rFonts w:hint="eastAsia" w:cs="宋体"/>
                <w:color w:val="000000"/>
                <w:kern w:val="0"/>
                <w:sz w:val="24"/>
                <w:szCs w:val="24"/>
              </w:rPr>
              <w:t>，</w:t>
            </w:r>
            <w:r>
              <w:rPr>
                <w:rFonts w:cs="宋体"/>
                <w:color w:val="000000"/>
                <w:kern w:val="0"/>
                <w:sz w:val="24"/>
                <w:szCs w:val="24"/>
              </w:rPr>
              <w:t>扣1分</w:t>
            </w:r>
            <w:r>
              <w:rPr>
                <w:rFonts w:hint="eastAsia" w:cs="宋体"/>
                <w:color w:val="000000"/>
                <w:kern w:val="0"/>
                <w:sz w:val="24"/>
                <w:szCs w:val="24"/>
              </w:rPr>
              <w:t>，</w:t>
            </w:r>
            <w:r>
              <w:rPr>
                <w:rFonts w:cs="宋体"/>
                <w:color w:val="000000"/>
                <w:kern w:val="0"/>
                <w:sz w:val="24"/>
                <w:szCs w:val="24"/>
              </w:rPr>
              <w:t>扣完为止。</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cs="宋体"/>
                <w:color w:val="000000"/>
                <w:kern w:val="0"/>
                <w:sz w:val="24"/>
                <w:szCs w:val="24"/>
              </w:rPr>
            </w:pPr>
            <w:r>
              <w:rPr>
                <w:rFonts w:cs="宋体"/>
                <w:color w:val="000000"/>
                <w:kern w:val="0"/>
                <w:sz w:val="24"/>
                <w:szCs w:val="24"/>
              </w:rPr>
              <w:t>3</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cs="宋体"/>
                <w:color w:val="000000"/>
                <w:kern w:val="0"/>
                <w:sz w:val="24"/>
                <w:szCs w:val="24"/>
              </w:rPr>
            </w:pPr>
            <w:r>
              <w:rPr>
                <w:rFonts w:hint="eastAsia" w:cs="宋体"/>
                <w:color w:val="000000"/>
                <w:kern w:val="0"/>
                <w:sz w:val="24"/>
                <w:szCs w:val="24"/>
              </w:rPr>
              <w:t>平台监测</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cs="Times New Roman"/>
                <w:color w:val="000000"/>
                <w:kern w:val="0"/>
                <w:sz w:val="24"/>
                <w:szCs w:val="24"/>
              </w:rPr>
            </w:pPr>
            <w:r>
              <w:rPr>
                <w:rFonts w:hint="eastAsia" w:cs="Times New Roman"/>
                <w:color w:val="000000"/>
                <w:sz w:val="24"/>
                <w:szCs w:val="24"/>
              </w:rPr>
              <w:t>12</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cs="宋体"/>
                <w:color w:val="000000"/>
                <w:kern w:val="0"/>
                <w:sz w:val="24"/>
                <w:szCs w:val="24"/>
              </w:rPr>
            </w:pPr>
          </w:p>
        </w:tc>
        <w:tc>
          <w:tcPr>
            <w:tcW w:w="225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sz w:val="24"/>
                <w:szCs w:val="24"/>
              </w:rPr>
            </w:pPr>
            <w:r>
              <w:rPr>
                <w:rFonts w:hint="eastAsia" w:cs="宋体"/>
                <w:color w:val="000000"/>
                <w:kern w:val="0"/>
                <w:sz w:val="24"/>
                <w:szCs w:val="24"/>
              </w:rPr>
              <w:t>保障城市公交平稳有序运营</w:t>
            </w:r>
            <w:r>
              <w:rPr>
                <w:rFonts w:hint="eastAsia"/>
                <w:sz w:val="24"/>
                <w:szCs w:val="24"/>
              </w:rPr>
              <w:t>（5分）</w:t>
            </w:r>
          </w:p>
        </w:tc>
        <w:tc>
          <w:tcPr>
            <w:tcW w:w="76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rPr>
                <w:rFonts w:hint="eastAsia" w:cs="宋体"/>
                <w:color w:val="000000"/>
                <w:kern w:val="0"/>
                <w:sz w:val="24"/>
                <w:szCs w:val="24"/>
              </w:rPr>
            </w:pPr>
            <w:r>
              <w:rPr>
                <w:rFonts w:hint="eastAsia" w:cs="宋体"/>
                <w:color w:val="000000"/>
                <w:kern w:val="0"/>
                <w:sz w:val="24"/>
                <w:szCs w:val="24"/>
              </w:rPr>
              <w:t>城市公交企业不存在欠薪欠保情况的，得2分；每有</w:t>
            </w:r>
            <w:r>
              <w:rPr>
                <w:rFonts w:cs="宋体"/>
                <w:color w:val="000000"/>
                <w:kern w:val="0"/>
                <w:sz w:val="24"/>
                <w:szCs w:val="24"/>
              </w:rPr>
              <w:t>1家</w:t>
            </w:r>
            <w:r>
              <w:rPr>
                <w:rFonts w:hint="eastAsia" w:cs="宋体"/>
                <w:color w:val="000000"/>
                <w:kern w:val="0"/>
                <w:sz w:val="24"/>
                <w:szCs w:val="24"/>
              </w:rPr>
              <w:t>企业存在欠薪欠保情况的，</w:t>
            </w:r>
            <w:r>
              <w:rPr>
                <w:rFonts w:cs="宋体"/>
                <w:color w:val="000000"/>
                <w:kern w:val="0"/>
                <w:sz w:val="24"/>
                <w:szCs w:val="24"/>
              </w:rPr>
              <w:t>扣0.5分</w:t>
            </w:r>
            <w:r>
              <w:rPr>
                <w:rFonts w:hint="eastAsia" w:cs="宋体"/>
                <w:color w:val="000000"/>
                <w:kern w:val="0"/>
                <w:sz w:val="24"/>
                <w:szCs w:val="24"/>
              </w:rPr>
              <w:t>，</w:t>
            </w:r>
            <w:r>
              <w:rPr>
                <w:rFonts w:cs="宋体"/>
                <w:color w:val="000000"/>
                <w:kern w:val="0"/>
                <w:sz w:val="24"/>
                <w:szCs w:val="24"/>
              </w:rPr>
              <w:t>扣完为止。</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cs="宋体"/>
                <w:color w:val="000000"/>
                <w:kern w:val="0"/>
                <w:sz w:val="24"/>
                <w:szCs w:val="24"/>
              </w:rPr>
            </w:pPr>
            <w:r>
              <w:rPr>
                <w:rFonts w:cs="宋体"/>
                <w:color w:val="000000"/>
                <w:kern w:val="0"/>
                <w:sz w:val="24"/>
                <w:szCs w:val="24"/>
              </w:rPr>
              <w:t>2</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cs="宋体"/>
                <w:color w:val="000000"/>
                <w:kern w:val="0"/>
                <w:sz w:val="24"/>
                <w:szCs w:val="24"/>
              </w:rPr>
            </w:pPr>
            <w:r>
              <w:rPr>
                <w:rFonts w:hint="eastAsia" w:cs="宋体"/>
                <w:color w:val="000000"/>
                <w:kern w:val="0"/>
                <w:sz w:val="24"/>
                <w:szCs w:val="24"/>
              </w:rPr>
              <w:t>地市报送、抽查检查</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cs="Times New Roman"/>
                <w:color w:val="000000"/>
                <w:kern w:val="0"/>
                <w:sz w:val="24"/>
                <w:szCs w:val="24"/>
              </w:rPr>
            </w:pPr>
            <w:r>
              <w:rPr>
                <w:rFonts w:hint="eastAsia" w:cs="Times New Roman"/>
                <w:color w:val="000000"/>
                <w:sz w:val="24"/>
                <w:szCs w:val="24"/>
              </w:rPr>
              <w:t>13</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cs="宋体"/>
                <w:color w:val="000000"/>
                <w:kern w:val="0"/>
                <w:sz w:val="24"/>
                <w:szCs w:val="24"/>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cs="宋体"/>
                <w:color w:val="000000"/>
                <w:kern w:val="0"/>
                <w:sz w:val="24"/>
                <w:szCs w:val="24"/>
              </w:rPr>
            </w:pPr>
          </w:p>
        </w:tc>
        <w:tc>
          <w:tcPr>
            <w:tcW w:w="76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rPr>
                <w:rFonts w:hint="eastAsia" w:cs="宋体"/>
                <w:color w:val="000000"/>
                <w:kern w:val="0"/>
                <w:sz w:val="24"/>
                <w:szCs w:val="24"/>
              </w:rPr>
            </w:pPr>
            <w:r>
              <w:rPr>
                <w:rFonts w:hint="eastAsia" w:cs="宋体"/>
                <w:color w:val="000000"/>
                <w:kern w:val="0"/>
                <w:sz w:val="24"/>
                <w:szCs w:val="24"/>
              </w:rPr>
              <w:t>出台城市公共交通成本规制办法，并足额兑现公交相关财政补贴的，得</w:t>
            </w:r>
            <w:r>
              <w:rPr>
                <w:rFonts w:cs="宋体"/>
                <w:color w:val="000000"/>
                <w:kern w:val="0"/>
                <w:sz w:val="24"/>
                <w:szCs w:val="24"/>
              </w:rPr>
              <w:t>2分</w:t>
            </w:r>
            <w:r>
              <w:rPr>
                <w:rFonts w:hint="eastAsia" w:cs="宋体"/>
                <w:color w:val="000000"/>
                <w:kern w:val="0"/>
                <w:sz w:val="24"/>
                <w:szCs w:val="24"/>
              </w:rPr>
              <w:t>；</w:t>
            </w:r>
            <w:r>
              <w:rPr>
                <w:rFonts w:cs="宋体"/>
                <w:color w:val="000000"/>
                <w:kern w:val="0"/>
                <w:sz w:val="24"/>
                <w:szCs w:val="24"/>
              </w:rPr>
              <w:t>否则，不得分。</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cs="宋体"/>
                <w:color w:val="000000"/>
                <w:kern w:val="0"/>
                <w:sz w:val="24"/>
                <w:szCs w:val="24"/>
              </w:rPr>
            </w:pPr>
            <w:r>
              <w:rPr>
                <w:rFonts w:cs="宋体"/>
                <w:color w:val="000000"/>
                <w:kern w:val="0"/>
                <w:sz w:val="24"/>
                <w:szCs w:val="24"/>
              </w:rPr>
              <w:t>2</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cs="宋体"/>
                <w:color w:val="000000"/>
                <w:kern w:val="0"/>
                <w:sz w:val="24"/>
                <w:szCs w:val="24"/>
              </w:rPr>
            </w:pPr>
            <w:r>
              <w:rPr>
                <w:rFonts w:hint="eastAsia" w:cs="宋体"/>
                <w:color w:val="000000"/>
                <w:kern w:val="0"/>
                <w:sz w:val="24"/>
                <w:szCs w:val="24"/>
              </w:rPr>
              <w:t>地市报送、抽查检查</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cs="Times New Roman"/>
                <w:color w:val="000000"/>
                <w:kern w:val="0"/>
                <w:sz w:val="24"/>
                <w:szCs w:val="24"/>
              </w:rPr>
            </w:pPr>
            <w:r>
              <w:rPr>
                <w:rFonts w:hint="eastAsia" w:cs="Times New Roman"/>
                <w:color w:val="000000"/>
                <w:sz w:val="24"/>
                <w:szCs w:val="24"/>
              </w:rPr>
              <w:t>14</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cs="宋体"/>
                <w:color w:val="000000"/>
                <w:kern w:val="0"/>
                <w:sz w:val="24"/>
                <w:szCs w:val="24"/>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cs="宋体"/>
                <w:color w:val="000000"/>
                <w:kern w:val="0"/>
                <w:sz w:val="24"/>
                <w:szCs w:val="24"/>
              </w:rPr>
            </w:pPr>
          </w:p>
        </w:tc>
        <w:tc>
          <w:tcPr>
            <w:tcW w:w="76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rPr>
                <w:rFonts w:hint="eastAsia" w:cs="宋体"/>
                <w:color w:val="000000"/>
                <w:kern w:val="0"/>
                <w:sz w:val="24"/>
                <w:szCs w:val="24"/>
              </w:rPr>
            </w:pPr>
            <w:r>
              <w:rPr>
                <w:rFonts w:hint="eastAsia" w:cs="宋体"/>
                <w:color w:val="000000"/>
                <w:kern w:val="0"/>
                <w:sz w:val="24"/>
                <w:szCs w:val="24"/>
              </w:rPr>
              <w:t>城市公共汽电车线路特许经营协议内容合规、企业符合准入条件、许可符合程序的，得</w:t>
            </w:r>
            <w:r>
              <w:rPr>
                <w:rFonts w:cs="宋体"/>
                <w:color w:val="000000"/>
                <w:kern w:val="0"/>
                <w:sz w:val="24"/>
                <w:szCs w:val="24"/>
              </w:rPr>
              <w:t>1分</w:t>
            </w:r>
            <w:r>
              <w:rPr>
                <w:rFonts w:hint="eastAsia" w:cs="宋体"/>
                <w:color w:val="000000"/>
                <w:kern w:val="0"/>
                <w:sz w:val="24"/>
                <w:szCs w:val="24"/>
              </w:rPr>
              <w:t>；</w:t>
            </w:r>
            <w:r>
              <w:rPr>
                <w:rFonts w:cs="宋体"/>
                <w:color w:val="000000"/>
                <w:kern w:val="0"/>
                <w:sz w:val="24"/>
                <w:szCs w:val="24"/>
              </w:rPr>
              <w:t>否则，不得分。</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hint="eastAsia" w:cs="宋体"/>
                <w:color w:val="000000"/>
                <w:kern w:val="0"/>
                <w:sz w:val="24"/>
                <w:szCs w:val="24"/>
              </w:rPr>
            </w:pPr>
            <w:r>
              <w:rPr>
                <w:rFonts w:cs="宋体"/>
                <w:color w:val="000000"/>
                <w:kern w:val="0"/>
                <w:sz w:val="24"/>
                <w:szCs w:val="24"/>
              </w:rPr>
              <w:t>1</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cs="宋体"/>
                <w:color w:val="000000"/>
                <w:kern w:val="0"/>
                <w:sz w:val="24"/>
                <w:szCs w:val="24"/>
              </w:rPr>
            </w:pPr>
            <w:r>
              <w:rPr>
                <w:rFonts w:hint="eastAsia" w:cs="宋体"/>
                <w:color w:val="000000"/>
                <w:kern w:val="0"/>
                <w:sz w:val="24"/>
                <w:szCs w:val="24"/>
              </w:rPr>
              <w:t>地市报送</w:t>
            </w:r>
          </w:p>
        </w:tc>
      </w:tr>
      <w:tr>
        <w:tblPrEx>
          <w:tblCellMar>
            <w:top w:w="0" w:type="dxa"/>
            <w:left w:w="108" w:type="dxa"/>
            <w:bottom w:w="0" w:type="dxa"/>
            <w:right w:w="108" w:type="dxa"/>
          </w:tblCellMar>
        </w:tblPrEx>
        <w:trPr>
          <w:trHeight w:val="83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cs="Times New Roman"/>
                <w:color w:val="000000"/>
                <w:kern w:val="0"/>
                <w:sz w:val="24"/>
                <w:szCs w:val="24"/>
              </w:rPr>
            </w:pPr>
            <w:r>
              <w:rPr>
                <w:rFonts w:hint="eastAsia" w:cs="Times New Roman"/>
                <w:color w:val="000000"/>
                <w:sz w:val="24"/>
                <w:szCs w:val="24"/>
              </w:rPr>
              <w:t>15</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cs="宋体"/>
                <w:color w:val="000000"/>
                <w:kern w:val="0"/>
                <w:sz w:val="24"/>
                <w:szCs w:val="24"/>
              </w:rPr>
            </w:pPr>
          </w:p>
        </w:tc>
        <w:tc>
          <w:tcPr>
            <w:tcW w:w="22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sz w:val="24"/>
                <w:szCs w:val="24"/>
              </w:rPr>
            </w:pPr>
            <w:r>
              <w:rPr>
                <w:rFonts w:hint="eastAsia" w:cs="宋体"/>
                <w:color w:val="000000"/>
                <w:kern w:val="0"/>
                <w:sz w:val="24"/>
                <w:szCs w:val="24"/>
              </w:rPr>
              <w:t>加强出租汽车行业信用建设</w:t>
            </w:r>
            <w:r>
              <w:rPr>
                <w:rFonts w:hint="eastAsia"/>
                <w:sz w:val="24"/>
                <w:szCs w:val="24"/>
              </w:rPr>
              <w:t>（2分）</w:t>
            </w:r>
          </w:p>
        </w:tc>
        <w:tc>
          <w:tcPr>
            <w:tcW w:w="76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rPr>
                <w:rFonts w:hint="eastAsia" w:cs="宋体"/>
                <w:color w:val="000000"/>
                <w:kern w:val="0"/>
                <w:sz w:val="24"/>
                <w:szCs w:val="24"/>
              </w:rPr>
            </w:pPr>
            <w:r>
              <w:rPr>
                <w:rFonts w:hint="eastAsia" w:cs="宋体"/>
                <w:color w:val="000000"/>
                <w:kern w:val="0"/>
                <w:sz w:val="24"/>
                <w:szCs w:val="24"/>
              </w:rPr>
              <w:t>根据网约车双合规率全省排名从高到低得分：第</w:t>
            </w:r>
            <w:r>
              <w:rPr>
                <w:rFonts w:cs="宋体"/>
                <w:color w:val="000000"/>
                <w:kern w:val="0"/>
                <w:sz w:val="24"/>
                <w:szCs w:val="24"/>
              </w:rPr>
              <w:t>1-5名，得2分；第6-13名，得1分；第14-18名，不得分。</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hint="eastAsia" w:cs="宋体"/>
                <w:color w:val="000000"/>
                <w:kern w:val="0"/>
                <w:sz w:val="24"/>
                <w:szCs w:val="24"/>
              </w:rPr>
            </w:pPr>
            <w:r>
              <w:rPr>
                <w:rFonts w:cs="宋体"/>
                <w:color w:val="000000"/>
                <w:kern w:val="0"/>
                <w:sz w:val="24"/>
                <w:szCs w:val="24"/>
              </w:rPr>
              <w:t>2</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cs="宋体"/>
                <w:color w:val="000000"/>
                <w:kern w:val="0"/>
                <w:sz w:val="24"/>
                <w:szCs w:val="24"/>
              </w:rPr>
            </w:pPr>
            <w:r>
              <w:rPr>
                <w:rFonts w:hint="eastAsia" w:cs="宋体"/>
                <w:color w:val="000000"/>
                <w:kern w:val="0"/>
                <w:sz w:val="24"/>
                <w:szCs w:val="24"/>
              </w:rPr>
              <w:t>平台监测</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cs="Times New Roman"/>
                <w:color w:val="000000"/>
                <w:kern w:val="0"/>
                <w:sz w:val="24"/>
                <w:szCs w:val="24"/>
              </w:rPr>
            </w:pPr>
            <w:r>
              <w:rPr>
                <w:rFonts w:hint="eastAsia" w:cs="Times New Roman"/>
                <w:color w:val="000000"/>
                <w:sz w:val="24"/>
                <w:szCs w:val="24"/>
              </w:rPr>
              <w:t>1</w:t>
            </w:r>
            <w:r>
              <w:rPr>
                <w:rFonts w:cs="Times New Roman"/>
                <w:color w:val="000000"/>
                <w:sz w:val="24"/>
                <w:szCs w:val="24"/>
              </w:rPr>
              <w:t>6</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cs="宋体"/>
                <w:color w:val="000000"/>
                <w:kern w:val="0"/>
                <w:sz w:val="24"/>
                <w:szCs w:val="24"/>
              </w:rPr>
            </w:pPr>
          </w:p>
        </w:tc>
        <w:tc>
          <w:tcPr>
            <w:tcW w:w="225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sz w:val="24"/>
                <w:szCs w:val="24"/>
              </w:rPr>
            </w:pPr>
            <w:r>
              <w:rPr>
                <w:rFonts w:hint="eastAsia" w:cs="宋体"/>
                <w:color w:val="000000"/>
                <w:kern w:val="0"/>
                <w:sz w:val="24"/>
                <w:szCs w:val="24"/>
              </w:rPr>
              <w:t>全面推进信用评价和结果应用</w:t>
            </w:r>
            <w:r>
              <w:rPr>
                <w:rFonts w:hint="eastAsia"/>
                <w:sz w:val="24"/>
                <w:szCs w:val="24"/>
              </w:rPr>
              <w:t>（1</w:t>
            </w:r>
            <w:r>
              <w:rPr>
                <w:sz w:val="24"/>
                <w:szCs w:val="24"/>
              </w:rPr>
              <w:t>0</w:t>
            </w:r>
            <w:r>
              <w:rPr>
                <w:rFonts w:hint="eastAsia"/>
                <w:sz w:val="24"/>
                <w:szCs w:val="24"/>
              </w:rPr>
              <w:t>分）</w:t>
            </w:r>
          </w:p>
        </w:tc>
        <w:tc>
          <w:tcPr>
            <w:tcW w:w="76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rPr>
                <w:rFonts w:hint="eastAsia" w:cs="宋体"/>
                <w:color w:val="000000"/>
                <w:kern w:val="0"/>
                <w:sz w:val="24"/>
                <w:szCs w:val="24"/>
              </w:rPr>
            </w:pPr>
            <w:r>
              <w:rPr>
                <w:rFonts w:hint="eastAsia" w:cs="宋体"/>
                <w:color w:val="000000"/>
                <w:kern w:val="0"/>
                <w:sz w:val="24"/>
                <w:szCs w:val="24"/>
              </w:rPr>
              <w:t>按要求在道路客运、货运、出租车、驾培、维修等领域开展服务质量信誉考核和驾驶员诚信考核工作的，每开展</w:t>
            </w:r>
            <w:r>
              <w:rPr>
                <w:rFonts w:cs="宋体"/>
                <w:color w:val="000000"/>
                <w:kern w:val="0"/>
                <w:sz w:val="24"/>
                <w:szCs w:val="24"/>
              </w:rPr>
              <w:t>1个领域得1分</w:t>
            </w:r>
            <w:r>
              <w:rPr>
                <w:rFonts w:hint="eastAsia" w:cs="宋体"/>
                <w:color w:val="000000"/>
                <w:kern w:val="0"/>
                <w:sz w:val="24"/>
                <w:szCs w:val="24"/>
              </w:rPr>
              <w:t>；</w:t>
            </w:r>
            <w:r>
              <w:rPr>
                <w:rFonts w:cs="宋体"/>
                <w:color w:val="000000"/>
                <w:kern w:val="0"/>
                <w:sz w:val="24"/>
                <w:szCs w:val="24"/>
              </w:rPr>
              <w:t>最高得5分。</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cs="宋体"/>
                <w:color w:val="000000"/>
                <w:kern w:val="0"/>
                <w:sz w:val="24"/>
                <w:szCs w:val="24"/>
              </w:rPr>
            </w:pPr>
            <w:r>
              <w:rPr>
                <w:rFonts w:cs="宋体"/>
                <w:color w:val="000000"/>
                <w:kern w:val="0"/>
                <w:sz w:val="24"/>
                <w:szCs w:val="24"/>
              </w:rPr>
              <w:t>5</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cs="宋体"/>
                <w:color w:val="000000"/>
                <w:kern w:val="0"/>
                <w:sz w:val="24"/>
                <w:szCs w:val="24"/>
              </w:rPr>
            </w:pPr>
            <w:r>
              <w:rPr>
                <w:rFonts w:hint="eastAsia" w:cs="宋体"/>
                <w:color w:val="000000"/>
                <w:kern w:val="0"/>
                <w:sz w:val="24"/>
                <w:szCs w:val="24"/>
              </w:rPr>
              <w:t>地市报送</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cs="Times New Roman"/>
                <w:color w:val="000000"/>
                <w:kern w:val="0"/>
                <w:sz w:val="24"/>
                <w:szCs w:val="24"/>
              </w:rPr>
            </w:pPr>
            <w:r>
              <w:rPr>
                <w:rFonts w:hint="eastAsia" w:cs="Times New Roman"/>
                <w:color w:val="000000"/>
                <w:sz w:val="24"/>
                <w:szCs w:val="24"/>
              </w:rPr>
              <w:t>1</w:t>
            </w:r>
            <w:r>
              <w:rPr>
                <w:rFonts w:cs="Times New Roman"/>
                <w:color w:val="000000"/>
                <w:sz w:val="24"/>
                <w:szCs w:val="24"/>
              </w:rPr>
              <w:t>7</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cs="宋体"/>
                <w:color w:val="000000"/>
                <w:kern w:val="0"/>
                <w:sz w:val="24"/>
                <w:szCs w:val="24"/>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cs="宋体"/>
                <w:color w:val="000000"/>
                <w:kern w:val="0"/>
                <w:sz w:val="24"/>
                <w:szCs w:val="24"/>
              </w:rPr>
            </w:pPr>
          </w:p>
        </w:tc>
        <w:tc>
          <w:tcPr>
            <w:tcW w:w="76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rPr>
                <w:rFonts w:hint="eastAsia" w:cs="宋体"/>
                <w:color w:val="000000"/>
                <w:kern w:val="0"/>
                <w:sz w:val="24"/>
                <w:szCs w:val="24"/>
              </w:rPr>
            </w:pPr>
            <w:r>
              <w:rPr>
                <w:rFonts w:hint="eastAsia" w:cs="宋体"/>
                <w:color w:val="000000"/>
                <w:kern w:val="0"/>
                <w:sz w:val="24"/>
                <w:szCs w:val="24"/>
              </w:rPr>
              <w:t>根据道路客运、货运、出租车、驾培、维修等领域服务质量信誉考核和驾驶员诚信考核结果采取分级分类监管措施的，每应用于</w:t>
            </w:r>
            <w:r>
              <w:rPr>
                <w:rFonts w:cs="宋体"/>
                <w:color w:val="000000"/>
                <w:kern w:val="0"/>
                <w:sz w:val="24"/>
                <w:szCs w:val="24"/>
              </w:rPr>
              <w:t>1个领域得1分</w:t>
            </w:r>
            <w:r>
              <w:rPr>
                <w:rFonts w:hint="eastAsia" w:cs="宋体"/>
                <w:color w:val="000000"/>
                <w:kern w:val="0"/>
                <w:sz w:val="24"/>
                <w:szCs w:val="24"/>
              </w:rPr>
              <w:t>；</w:t>
            </w:r>
            <w:r>
              <w:rPr>
                <w:rFonts w:cs="宋体"/>
                <w:color w:val="000000"/>
                <w:kern w:val="0"/>
                <w:sz w:val="24"/>
                <w:szCs w:val="24"/>
              </w:rPr>
              <w:t>最高得5分。</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cs="宋体"/>
                <w:color w:val="000000"/>
                <w:kern w:val="0"/>
                <w:sz w:val="24"/>
                <w:szCs w:val="24"/>
              </w:rPr>
            </w:pPr>
            <w:r>
              <w:rPr>
                <w:rFonts w:cs="宋体"/>
                <w:color w:val="000000"/>
                <w:kern w:val="0"/>
                <w:sz w:val="24"/>
                <w:szCs w:val="24"/>
              </w:rPr>
              <w:t>5</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cs="宋体"/>
                <w:color w:val="000000"/>
                <w:kern w:val="0"/>
                <w:sz w:val="24"/>
                <w:szCs w:val="24"/>
              </w:rPr>
            </w:pPr>
            <w:r>
              <w:rPr>
                <w:rFonts w:hint="eastAsia" w:cs="宋体"/>
                <w:color w:val="000000"/>
                <w:kern w:val="0"/>
                <w:sz w:val="24"/>
                <w:szCs w:val="24"/>
              </w:rPr>
              <w:t>地市报送</w:t>
            </w:r>
          </w:p>
        </w:tc>
      </w:tr>
      <w:tr>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cs="Times New Roman"/>
                <w:color w:val="000000"/>
                <w:kern w:val="0"/>
                <w:sz w:val="24"/>
                <w:szCs w:val="24"/>
              </w:rPr>
            </w:pPr>
            <w:r>
              <w:rPr>
                <w:rFonts w:cs="Times New Roman"/>
                <w:color w:val="000000"/>
                <w:sz w:val="24"/>
                <w:szCs w:val="24"/>
              </w:rPr>
              <w:t>18</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cs="宋体"/>
                <w:color w:val="000000"/>
                <w:kern w:val="0"/>
                <w:sz w:val="24"/>
                <w:szCs w:val="24"/>
              </w:rPr>
            </w:pPr>
          </w:p>
        </w:tc>
        <w:tc>
          <w:tcPr>
            <w:tcW w:w="22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cs="宋体"/>
                <w:color w:val="000000"/>
                <w:kern w:val="0"/>
                <w:sz w:val="24"/>
                <w:szCs w:val="24"/>
              </w:rPr>
            </w:pPr>
            <w:r>
              <w:rPr>
                <w:rFonts w:hint="eastAsia" w:cs="宋体"/>
                <w:color w:val="000000"/>
                <w:kern w:val="0"/>
                <w:sz w:val="24"/>
                <w:szCs w:val="24"/>
              </w:rPr>
              <w:t>强化服务质量监管（4分）</w:t>
            </w:r>
          </w:p>
        </w:tc>
        <w:tc>
          <w:tcPr>
            <w:tcW w:w="76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rPr>
                <w:rFonts w:hint="eastAsia" w:cs="宋体"/>
                <w:color w:val="000000"/>
                <w:kern w:val="0"/>
                <w:sz w:val="24"/>
                <w:szCs w:val="24"/>
              </w:rPr>
            </w:pPr>
            <w:r>
              <w:rPr>
                <w:rFonts w:hint="eastAsia" w:cs="宋体"/>
                <w:color w:val="000000"/>
                <w:kern w:val="0"/>
                <w:sz w:val="24"/>
                <w:szCs w:val="24"/>
              </w:rPr>
              <w:t>分别根据</w:t>
            </w:r>
            <w:r>
              <w:rPr>
                <w:rFonts w:cs="宋体"/>
                <w:color w:val="000000"/>
                <w:kern w:val="0"/>
                <w:sz w:val="24"/>
                <w:szCs w:val="24"/>
              </w:rPr>
              <w:t>12328客运、公交、出租车、驾培企业相关投诉量与本地区客运车辆数、公交车车辆数、出租车车辆数、驾培企业数比值每</w:t>
            </w:r>
            <w:r>
              <w:rPr>
                <w:rFonts w:hint="eastAsia" w:cs="宋体"/>
                <w:color w:val="000000"/>
                <w:kern w:val="0"/>
                <w:sz w:val="24"/>
                <w:szCs w:val="24"/>
              </w:rPr>
              <w:t>1</w:t>
            </w:r>
            <w:r>
              <w:rPr>
                <w:rFonts w:cs="宋体"/>
                <w:color w:val="000000"/>
                <w:kern w:val="0"/>
                <w:sz w:val="24"/>
                <w:szCs w:val="24"/>
              </w:rPr>
              <w:t>项</w:t>
            </w:r>
            <w:r>
              <w:rPr>
                <w:rFonts w:hint="eastAsia" w:cs="宋体"/>
                <w:color w:val="000000"/>
                <w:kern w:val="0"/>
                <w:sz w:val="24"/>
                <w:szCs w:val="24"/>
              </w:rPr>
              <w:t>全省排名从高到低得</w:t>
            </w:r>
            <w:r>
              <w:rPr>
                <w:rFonts w:cs="宋体"/>
                <w:color w:val="000000"/>
                <w:kern w:val="0"/>
                <w:sz w:val="24"/>
                <w:szCs w:val="24"/>
              </w:rPr>
              <w:t>分：排名第1-5名，</w:t>
            </w:r>
            <w:r>
              <w:rPr>
                <w:rFonts w:hint="eastAsia" w:cs="宋体"/>
                <w:color w:val="000000"/>
                <w:kern w:val="0"/>
                <w:sz w:val="24"/>
                <w:szCs w:val="24"/>
              </w:rPr>
              <w:t>不得分</w:t>
            </w:r>
            <w:r>
              <w:rPr>
                <w:rFonts w:cs="宋体"/>
                <w:color w:val="000000"/>
                <w:kern w:val="0"/>
                <w:sz w:val="24"/>
                <w:szCs w:val="24"/>
              </w:rPr>
              <w:t>；第6-10名，</w:t>
            </w:r>
            <w:r>
              <w:rPr>
                <w:rFonts w:hint="eastAsia" w:cs="宋体"/>
                <w:color w:val="000000"/>
                <w:kern w:val="0"/>
                <w:sz w:val="24"/>
                <w:szCs w:val="24"/>
              </w:rPr>
              <w:t>得</w:t>
            </w:r>
            <w:r>
              <w:rPr>
                <w:rFonts w:cs="宋体"/>
                <w:color w:val="000000"/>
                <w:kern w:val="0"/>
                <w:sz w:val="24"/>
                <w:szCs w:val="24"/>
              </w:rPr>
              <w:t>0.5分；第11-18名，</w:t>
            </w:r>
            <w:r>
              <w:rPr>
                <w:rFonts w:hint="eastAsia" w:cs="宋体"/>
                <w:color w:val="000000"/>
                <w:kern w:val="0"/>
                <w:sz w:val="24"/>
                <w:szCs w:val="24"/>
              </w:rPr>
              <w:t>得1分；最高得4分。</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cs="宋体"/>
                <w:color w:val="000000"/>
                <w:kern w:val="0"/>
                <w:sz w:val="24"/>
                <w:szCs w:val="24"/>
              </w:rPr>
            </w:pPr>
            <w:r>
              <w:rPr>
                <w:rFonts w:cs="宋体"/>
                <w:color w:val="000000"/>
                <w:kern w:val="0"/>
                <w:sz w:val="24"/>
                <w:szCs w:val="24"/>
              </w:rPr>
              <w:t>4</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cs="宋体"/>
                <w:color w:val="000000"/>
                <w:kern w:val="0"/>
                <w:sz w:val="24"/>
                <w:szCs w:val="24"/>
              </w:rPr>
            </w:pPr>
            <w:r>
              <w:rPr>
                <w:rFonts w:hint="eastAsia" w:cs="宋体"/>
                <w:color w:val="000000"/>
                <w:kern w:val="0"/>
                <w:sz w:val="24"/>
                <w:szCs w:val="24"/>
              </w:rPr>
              <w:t>平台监测</w:t>
            </w:r>
          </w:p>
        </w:tc>
      </w:tr>
      <w:tr>
        <w:tblPrEx>
          <w:tblCellMar>
            <w:top w:w="0" w:type="dxa"/>
            <w:left w:w="108" w:type="dxa"/>
            <w:bottom w:w="0" w:type="dxa"/>
            <w:right w:w="108" w:type="dxa"/>
          </w:tblCellMar>
        </w:tblPrEx>
        <w:trPr>
          <w:trHeight w:val="11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cs="Times New Roman"/>
                <w:color w:val="000000"/>
                <w:kern w:val="0"/>
                <w:sz w:val="24"/>
                <w:szCs w:val="24"/>
              </w:rPr>
            </w:pPr>
            <w:r>
              <w:rPr>
                <w:rFonts w:cs="Times New Roman"/>
                <w:color w:val="000000"/>
                <w:sz w:val="24"/>
                <w:szCs w:val="24"/>
              </w:rPr>
              <w:t>19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firstLine="0" w:firstLineChars="0"/>
              <w:jc w:val="center"/>
              <w:rPr>
                <w:rFonts w:hint="eastAsia" w:cs="宋体"/>
                <w:color w:val="000000"/>
                <w:kern w:val="0"/>
                <w:sz w:val="24"/>
                <w:szCs w:val="24"/>
              </w:rPr>
            </w:pPr>
            <w:r>
              <w:rPr>
                <w:rFonts w:hint="eastAsia" w:cs="宋体"/>
                <w:color w:val="000000"/>
                <w:kern w:val="0"/>
                <w:sz w:val="24"/>
                <w:szCs w:val="24"/>
              </w:rPr>
              <w:t>安全生产领域</w:t>
            </w:r>
          </w:p>
          <w:p>
            <w:pPr>
              <w:widowControl/>
              <w:spacing w:line="240" w:lineRule="auto"/>
              <w:ind w:firstLine="0" w:firstLineChars="0"/>
              <w:jc w:val="center"/>
              <w:rPr>
                <w:rFonts w:hint="eastAsia" w:cs="宋体"/>
                <w:color w:val="000000"/>
                <w:kern w:val="0"/>
                <w:sz w:val="24"/>
                <w:szCs w:val="24"/>
              </w:rPr>
            </w:pPr>
            <w:r>
              <w:rPr>
                <w:rFonts w:hint="eastAsia" w:cs="宋体"/>
                <w:color w:val="000000"/>
                <w:kern w:val="0"/>
                <w:sz w:val="24"/>
                <w:szCs w:val="24"/>
              </w:rPr>
              <w:t>（2</w:t>
            </w:r>
            <w:r>
              <w:rPr>
                <w:rFonts w:cs="宋体"/>
                <w:color w:val="000000"/>
                <w:kern w:val="0"/>
                <w:sz w:val="24"/>
                <w:szCs w:val="24"/>
              </w:rPr>
              <w:t>4</w:t>
            </w:r>
            <w:r>
              <w:rPr>
                <w:rFonts w:hint="eastAsia" w:cs="宋体"/>
                <w:color w:val="000000"/>
                <w:kern w:val="0"/>
                <w:sz w:val="24"/>
                <w:szCs w:val="24"/>
              </w:rPr>
              <w:t>分）</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240" w:lineRule="auto"/>
              <w:ind w:firstLine="0" w:firstLineChars="0"/>
              <w:jc w:val="center"/>
              <w:rPr>
                <w:rFonts w:hint="eastAsia" w:cs="宋体"/>
                <w:color w:val="000000"/>
                <w:kern w:val="0"/>
                <w:sz w:val="24"/>
                <w:szCs w:val="24"/>
              </w:rPr>
            </w:pPr>
            <w:r>
              <w:rPr>
                <w:rFonts w:hint="eastAsia" w:cs="宋体"/>
                <w:color w:val="000000"/>
                <w:kern w:val="0"/>
                <w:sz w:val="24"/>
                <w:szCs w:val="24"/>
              </w:rPr>
              <w:t>推进双重预防机制建设（2分）</w:t>
            </w:r>
          </w:p>
        </w:tc>
        <w:tc>
          <w:tcPr>
            <w:tcW w:w="7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firstLine="0" w:firstLineChars="0"/>
              <w:rPr>
                <w:rFonts w:hint="eastAsia" w:cs="宋体"/>
                <w:color w:val="000000"/>
                <w:kern w:val="0"/>
                <w:sz w:val="24"/>
                <w:szCs w:val="24"/>
              </w:rPr>
            </w:pPr>
            <w:r>
              <w:rPr>
                <w:rFonts w:hint="eastAsia" w:cs="宋体"/>
                <w:color w:val="000000"/>
                <w:kern w:val="0"/>
                <w:sz w:val="24"/>
                <w:szCs w:val="24"/>
              </w:rPr>
              <w:t>所有“两客一危”运输企业按照“五有标准”完成双重预防体系建设，并有效应用的，得</w:t>
            </w:r>
            <w:r>
              <w:rPr>
                <w:rFonts w:cs="宋体"/>
                <w:color w:val="000000"/>
                <w:kern w:val="0"/>
                <w:sz w:val="24"/>
                <w:szCs w:val="24"/>
              </w:rPr>
              <w:t>2分</w:t>
            </w:r>
            <w:r>
              <w:rPr>
                <w:rFonts w:hint="eastAsia" w:cs="宋体"/>
                <w:color w:val="000000"/>
                <w:kern w:val="0"/>
                <w:sz w:val="24"/>
                <w:szCs w:val="24"/>
              </w:rPr>
              <w:t>；</w:t>
            </w:r>
            <w:r>
              <w:rPr>
                <w:rFonts w:cs="宋体"/>
                <w:color w:val="000000"/>
                <w:kern w:val="0"/>
                <w:sz w:val="24"/>
                <w:szCs w:val="24"/>
              </w:rPr>
              <w:t>否则，不得分。</w:t>
            </w:r>
          </w:p>
        </w:tc>
        <w:tc>
          <w:tcPr>
            <w:tcW w:w="70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auto"/>
              <w:ind w:firstLine="0" w:firstLineChars="0"/>
              <w:jc w:val="center"/>
              <w:rPr>
                <w:rFonts w:hint="eastAsia" w:cs="宋体"/>
                <w:color w:val="000000"/>
                <w:kern w:val="0"/>
                <w:sz w:val="24"/>
                <w:szCs w:val="24"/>
              </w:rPr>
            </w:pPr>
            <w:r>
              <w:rPr>
                <w:rFonts w:cs="宋体"/>
                <w:color w:val="000000"/>
                <w:kern w:val="0"/>
                <w:sz w:val="24"/>
                <w:szCs w:val="24"/>
              </w:rPr>
              <w:t>2</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cs="宋体"/>
                <w:color w:val="000000"/>
                <w:kern w:val="0"/>
                <w:sz w:val="24"/>
                <w:szCs w:val="24"/>
              </w:rPr>
            </w:pPr>
            <w:r>
              <w:rPr>
                <w:rFonts w:hint="eastAsia" w:cs="宋体"/>
                <w:color w:val="000000"/>
                <w:kern w:val="0"/>
                <w:sz w:val="24"/>
                <w:szCs w:val="24"/>
              </w:rPr>
              <w:t>地市报送、平台监测</w:t>
            </w:r>
          </w:p>
        </w:tc>
      </w:tr>
      <w:tr>
        <w:tblPrEx>
          <w:tblCellMar>
            <w:top w:w="0" w:type="dxa"/>
            <w:left w:w="108" w:type="dxa"/>
            <w:bottom w:w="0" w:type="dxa"/>
            <w:right w:w="108" w:type="dxa"/>
          </w:tblCellMar>
        </w:tblPrEx>
        <w:trPr>
          <w:trHeight w:val="59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cs="Times New Roman"/>
                <w:color w:val="000000"/>
                <w:kern w:val="0"/>
                <w:sz w:val="24"/>
                <w:szCs w:val="24"/>
              </w:rPr>
            </w:pPr>
            <w:r>
              <w:rPr>
                <w:rFonts w:hint="eastAsia" w:cs="Times New Roman"/>
                <w:color w:val="000000"/>
                <w:sz w:val="24"/>
                <w:szCs w:val="24"/>
              </w:rPr>
              <w:t>2</w:t>
            </w:r>
            <w:r>
              <w:rPr>
                <w:rFonts w:cs="Times New Roman"/>
                <w:color w:val="000000"/>
                <w:sz w:val="24"/>
                <w:szCs w:val="24"/>
              </w:rPr>
              <w:t>0</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cs="宋体"/>
                <w:color w:val="000000"/>
                <w:kern w:val="0"/>
                <w:sz w:val="24"/>
                <w:szCs w:val="24"/>
              </w:rPr>
            </w:pPr>
          </w:p>
        </w:tc>
        <w:tc>
          <w:tcPr>
            <w:tcW w:w="225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cs="宋体"/>
                <w:color w:val="000000"/>
                <w:kern w:val="0"/>
                <w:sz w:val="24"/>
                <w:szCs w:val="24"/>
              </w:rPr>
            </w:pPr>
            <w:r>
              <w:rPr>
                <w:rFonts w:hint="eastAsia" w:cs="宋体"/>
                <w:color w:val="000000"/>
                <w:kern w:val="0"/>
                <w:sz w:val="24"/>
                <w:szCs w:val="24"/>
              </w:rPr>
              <w:t>强化道路运输企业和车辆智慧监管（1</w:t>
            </w:r>
            <w:r>
              <w:rPr>
                <w:rFonts w:cs="宋体"/>
                <w:color w:val="000000"/>
                <w:kern w:val="0"/>
                <w:sz w:val="24"/>
                <w:szCs w:val="24"/>
              </w:rPr>
              <w:t>0</w:t>
            </w:r>
            <w:r>
              <w:rPr>
                <w:rFonts w:hint="eastAsia" w:cs="宋体"/>
                <w:color w:val="000000"/>
                <w:kern w:val="0"/>
                <w:sz w:val="24"/>
                <w:szCs w:val="24"/>
              </w:rPr>
              <w:t>分）</w:t>
            </w:r>
          </w:p>
        </w:tc>
        <w:tc>
          <w:tcPr>
            <w:tcW w:w="76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rPr>
                <w:rFonts w:hint="eastAsia" w:cs="宋体"/>
                <w:color w:val="000000"/>
                <w:kern w:val="0"/>
                <w:sz w:val="24"/>
                <w:szCs w:val="24"/>
              </w:rPr>
            </w:pPr>
            <w:r>
              <w:rPr>
                <w:rFonts w:hint="eastAsia" w:cs="宋体"/>
                <w:color w:val="000000"/>
                <w:kern w:val="0"/>
                <w:sz w:val="24"/>
                <w:szCs w:val="24"/>
              </w:rPr>
              <w:t>根据“两客一危”违规告警车辆占比全省排名从高到低得分：第</w:t>
            </w:r>
            <w:r>
              <w:rPr>
                <w:rFonts w:cs="宋体"/>
                <w:color w:val="000000"/>
                <w:kern w:val="0"/>
                <w:sz w:val="24"/>
                <w:szCs w:val="24"/>
              </w:rPr>
              <w:t>1-3名，</w:t>
            </w:r>
            <w:r>
              <w:rPr>
                <w:rFonts w:hint="eastAsia" w:cs="宋体"/>
                <w:color w:val="000000"/>
                <w:kern w:val="0"/>
                <w:sz w:val="24"/>
                <w:szCs w:val="24"/>
              </w:rPr>
              <w:t>不得分</w:t>
            </w:r>
            <w:r>
              <w:rPr>
                <w:rFonts w:cs="宋体"/>
                <w:color w:val="000000"/>
                <w:kern w:val="0"/>
                <w:sz w:val="24"/>
                <w:szCs w:val="24"/>
              </w:rPr>
              <w:t>；第4-6名，</w:t>
            </w:r>
            <w:r>
              <w:rPr>
                <w:rFonts w:hint="eastAsia" w:cs="宋体"/>
                <w:color w:val="000000"/>
                <w:kern w:val="0"/>
                <w:sz w:val="24"/>
                <w:szCs w:val="24"/>
              </w:rPr>
              <w:t>得</w:t>
            </w:r>
            <w:r>
              <w:rPr>
                <w:rFonts w:cs="宋体"/>
                <w:color w:val="000000"/>
                <w:kern w:val="0"/>
                <w:sz w:val="24"/>
                <w:szCs w:val="24"/>
              </w:rPr>
              <w:t>1分；第7-18名，</w:t>
            </w:r>
            <w:r>
              <w:rPr>
                <w:rFonts w:hint="eastAsia" w:cs="宋体"/>
                <w:color w:val="000000"/>
                <w:kern w:val="0"/>
                <w:sz w:val="24"/>
                <w:szCs w:val="24"/>
              </w:rPr>
              <w:t>得2分</w:t>
            </w:r>
            <w:r>
              <w:rPr>
                <w:rFonts w:cs="宋体"/>
                <w:color w:val="000000"/>
                <w:kern w:val="0"/>
                <w:sz w:val="24"/>
                <w:szCs w:val="24"/>
              </w:rPr>
              <w:t>。</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hint="eastAsia" w:cs="宋体"/>
                <w:color w:val="000000"/>
                <w:kern w:val="0"/>
                <w:sz w:val="24"/>
                <w:szCs w:val="24"/>
              </w:rPr>
            </w:pPr>
            <w:r>
              <w:rPr>
                <w:rFonts w:cs="宋体"/>
                <w:color w:val="000000"/>
                <w:kern w:val="0"/>
                <w:sz w:val="24"/>
                <w:szCs w:val="24"/>
              </w:rPr>
              <w:t>2</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cs="宋体"/>
                <w:color w:val="000000"/>
                <w:kern w:val="0"/>
                <w:sz w:val="24"/>
                <w:szCs w:val="24"/>
              </w:rPr>
            </w:pPr>
            <w:r>
              <w:rPr>
                <w:rFonts w:hint="eastAsia" w:cs="宋体"/>
                <w:color w:val="000000"/>
                <w:kern w:val="0"/>
                <w:sz w:val="24"/>
                <w:szCs w:val="24"/>
              </w:rPr>
              <w:t>平台监测</w:t>
            </w:r>
          </w:p>
        </w:tc>
      </w:tr>
      <w:tr>
        <w:tblPrEx>
          <w:tblCellMar>
            <w:top w:w="0" w:type="dxa"/>
            <w:left w:w="108" w:type="dxa"/>
            <w:bottom w:w="0" w:type="dxa"/>
            <w:right w:w="108" w:type="dxa"/>
          </w:tblCellMar>
        </w:tblPrEx>
        <w:trPr>
          <w:trHeight w:val="55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cs="Times New Roman"/>
                <w:color w:val="000000"/>
                <w:kern w:val="0"/>
                <w:sz w:val="24"/>
                <w:szCs w:val="24"/>
              </w:rPr>
            </w:pPr>
            <w:r>
              <w:rPr>
                <w:rFonts w:hint="eastAsia" w:cs="Times New Roman"/>
                <w:color w:val="000000"/>
                <w:sz w:val="24"/>
                <w:szCs w:val="24"/>
              </w:rPr>
              <w:t>2</w:t>
            </w:r>
            <w:r>
              <w:rPr>
                <w:rFonts w:cs="Times New Roman"/>
                <w:color w:val="000000"/>
                <w:sz w:val="24"/>
                <w:szCs w:val="24"/>
              </w:rPr>
              <w:t>1</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cs="宋体"/>
                <w:color w:val="000000"/>
                <w:kern w:val="0"/>
                <w:sz w:val="24"/>
                <w:szCs w:val="24"/>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cs="宋体"/>
                <w:color w:val="000000"/>
                <w:kern w:val="0"/>
                <w:sz w:val="24"/>
                <w:szCs w:val="24"/>
              </w:rPr>
            </w:pPr>
          </w:p>
        </w:tc>
        <w:tc>
          <w:tcPr>
            <w:tcW w:w="76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rPr>
                <w:rFonts w:hint="eastAsia" w:cs="宋体"/>
                <w:color w:val="000000"/>
                <w:kern w:val="0"/>
                <w:sz w:val="24"/>
                <w:szCs w:val="24"/>
              </w:rPr>
            </w:pPr>
            <w:r>
              <w:rPr>
                <w:rFonts w:hint="eastAsia" w:cs="宋体"/>
                <w:color w:val="000000"/>
                <w:kern w:val="0"/>
                <w:sz w:val="24"/>
                <w:szCs w:val="24"/>
              </w:rPr>
              <w:t>根据“两客一危”车辆车均严重疲劳驾驶时长全省排名从高到低得分：第</w:t>
            </w:r>
            <w:r>
              <w:rPr>
                <w:rFonts w:cs="宋体"/>
                <w:color w:val="000000"/>
                <w:kern w:val="0"/>
                <w:sz w:val="24"/>
                <w:szCs w:val="24"/>
              </w:rPr>
              <w:t>1-3名，</w:t>
            </w:r>
            <w:r>
              <w:rPr>
                <w:rFonts w:hint="eastAsia" w:cs="宋体"/>
                <w:color w:val="000000"/>
                <w:kern w:val="0"/>
                <w:sz w:val="24"/>
                <w:szCs w:val="24"/>
              </w:rPr>
              <w:t>不得分</w:t>
            </w:r>
            <w:r>
              <w:rPr>
                <w:rFonts w:cs="宋体"/>
                <w:color w:val="000000"/>
                <w:kern w:val="0"/>
                <w:sz w:val="24"/>
                <w:szCs w:val="24"/>
              </w:rPr>
              <w:t>；第4-6名，</w:t>
            </w:r>
            <w:r>
              <w:rPr>
                <w:rFonts w:hint="eastAsia" w:cs="宋体"/>
                <w:color w:val="000000"/>
                <w:kern w:val="0"/>
                <w:sz w:val="24"/>
                <w:szCs w:val="24"/>
              </w:rPr>
              <w:t>得</w:t>
            </w:r>
            <w:r>
              <w:rPr>
                <w:rFonts w:cs="宋体"/>
                <w:color w:val="000000"/>
                <w:kern w:val="0"/>
                <w:sz w:val="24"/>
                <w:szCs w:val="24"/>
              </w:rPr>
              <w:t>1分；第7-18名，</w:t>
            </w:r>
            <w:r>
              <w:rPr>
                <w:rFonts w:hint="eastAsia" w:cs="宋体"/>
                <w:color w:val="000000"/>
                <w:kern w:val="0"/>
                <w:sz w:val="24"/>
                <w:szCs w:val="24"/>
              </w:rPr>
              <w:t>得2分</w:t>
            </w:r>
            <w:r>
              <w:rPr>
                <w:rFonts w:cs="宋体"/>
                <w:color w:val="000000"/>
                <w:kern w:val="0"/>
                <w:sz w:val="24"/>
                <w:szCs w:val="24"/>
              </w:rPr>
              <w:t>。</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hint="eastAsia" w:cs="宋体"/>
                <w:color w:val="000000"/>
                <w:kern w:val="0"/>
                <w:sz w:val="24"/>
                <w:szCs w:val="24"/>
              </w:rPr>
            </w:pPr>
            <w:r>
              <w:rPr>
                <w:rFonts w:cs="宋体"/>
                <w:color w:val="000000"/>
                <w:kern w:val="0"/>
                <w:sz w:val="24"/>
                <w:szCs w:val="24"/>
              </w:rPr>
              <w:t>2</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cs="宋体"/>
                <w:color w:val="000000"/>
                <w:kern w:val="0"/>
                <w:sz w:val="24"/>
                <w:szCs w:val="24"/>
              </w:rPr>
            </w:pPr>
            <w:r>
              <w:rPr>
                <w:rFonts w:hint="eastAsia" w:cs="宋体"/>
                <w:color w:val="000000"/>
                <w:kern w:val="0"/>
                <w:sz w:val="24"/>
                <w:szCs w:val="24"/>
              </w:rPr>
              <w:t>平台监测</w:t>
            </w:r>
          </w:p>
        </w:tc>
      </w:tr>
      <w:tr>
        <w:tblPrEx>
          <w:tblCellMar>
            <w:top w:w="0" w:type="dxa"/>
            <w:left w:w="108" w:type="dxa"/>
            <w:bottom w:w="0" w:type="dxa"/>
            <w:right w:w="108" w:type="dxa"/>
          </w:tblCellMar>
        </w:tblPrEx>
        <w:trPr>
          <w:trHeight w:val="61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cs="Times New Roman"/>
                <w:color w:val="000000"/>
                <w:kern w:val="0"/>
                <w:sz w:val="24"/>
                <w:szCs w:val="24"/>
              </w:rPr>
            </w:pPr>
            <w:r>
              <w:rPr>
                <w:rFonts w:hint="eastAsia" w:cs="Times New Roman"/>
                <w:color w:val="000000"/>
                <w:sz w:val="24"/>
                <w:szCs w:val="24"/>
              </w:rPr>
              <w:t>2</w:t>
            </w:r>
            <w:r>
              <w:rPr>
                <w:rFonts w:cs="Times New Roman"/>
                <w:color w:val="000000"/>
                <w:sz w:val="24"/>
                <w:szCs w:val="24"/>
              </w:rPr>
              <w:t>2</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cs="宋体"/>
                <w:color w:val="000000"/>
                <w:kern w:val="0"/>
                <w:sz w:val="24"/>
                <w:szCs w:val="24"/>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cs="宋体"/>
                <w:color w:val="000000"/>
                <w:kern w:val="0"/>
                <w:sz w:val="24"/>
                <w:szCs w:val="24"/>
              </w:rPr>
            </w:pPr>
          </w:p>
        </w:tc>
        <w:tc>
          <w:tcPr>
            <w:tcW w:w="76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rPr>
                <w:rFonts w:hint="eastAsia" w:cs="宋体"/>
                <w:color w:val="000000"/>
                <w:kern w:val="0"/>
                <w:sz w:val="24"/>
                <w:szCs w:val="24"/>
              </w:rPr>
            </w:pPr>
            <w:r>
              <w:rPr>
                <w:rFonts w:hint="eastAsia" w:cs="宋体"/>
                <w:color w:val="000000"/>
                <w:kern w:val="0"/>
                <w:sz w:val="24"/>
                <w:szCs w:val="24"/>
              </w:rPr>
              <w:t>根据“两客一危”车辆车均严重超速次数全省排名从高到低得分：第</w:t>
            </w:r>
            <w:r>
              <w:rPr>
                <w:rFonts w:cs="宋体"/>
                <w:color w:val="000000"/>
                <w:kern w:val="0"/>
                <w:sz w:val="24"/>
                <w:szCs w:val="24"/>
              </w:rPr>
              <w:t>1-3名，</w:t>
            </w:r>
            <w:r>
              <w:rPr>
                <w:rFonts w:hint="eastAsia" w:cs="宋体"/>
                <w:color w:val="000000"/>
                <w:kern w:val="0"/>
                <w:sz w:val="24"/>
                <w:szCs w:val="24"/>
              </w:rPr>
              <w:t>不得分</w:t>
            </w:r>
            <w:r>
              <w:rPr>
                <w:rFonts w:cs="宋体"/>
                <w:color w:val="000000"/>
                <w:kern w:val="0"/>
                <w:sz w:val="24"/>
                <w:szCs w:val="24"/>
              </w:rPr>
              <w:t>；第4-6名，</w:t>
            </w:r>
            <w:r>
              <w:rPr>
                <w:rFonts w:hint="eastAsia" w:cs="宋体"/>
                <w:color w:val="000000"/>
                <w:kern w:val="0"/>
                <w:sz w:val="24"/>
                <w:szCs w:val="24"/>
              </w:rPr>
              <w:t>得</w:t>
            </w:r>
            <w:r>
              <w:rPr>
                <w:rFonts w:cs="宋体"/>
                <w:color w:val="000000"/>
                <w:kern w:val="0"/>
                <w:sz w:val="24"/>
                <w:szCs w:val="24"/>
              </w:rPr>
              <w:t>1分；第7-18名，</w:t>
            </w:r>
            <w:r>
              <w:rPr>
                <w:rFonts w:hint="eastAsia" w:cs="宋体"/>
                <w:color w:val="000000"/>
                <w:kern w:val="0"/>
                <w:sz w:val="24"/>
                <w:szCs w:val="24"/>
              </w:rPr>
              <w:t>得2分</w:t>
            </w:r>
            <w:r>
              <w:rPr>
                <w:rFonts w:cs="宋体"/>
                <w:color w:val="000000"/>
                <w:kern w:val="0"/>
                <w:sz w:val="24"/>
                <w:szCs w:val="24"/>
              </w:rPr>
              <w:t>。</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hint="eastAsia" w:cs="宋体"/>
                <w:color w:val="000000"/>
                <w:kern w:val="0"/>
                <w:sz w:val="24"/>
                <w:szCs w:val="24"/>
              </w:rPr>
            </w:pPr>
            <w:r>
              <w:rPr>
                <w:rFonts w:cs="宋体"/>
                <w:color w:val="000000"/>
                <w:kern w:val="0"/>
                <w:sz w:val="24"/>
                <w:szCs w:val="24"/>
              </w:rPr>
              <w:t>2</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cs="宋体"/>
                <w:color w:val="000000"/>
                <w:kern w:val="0"/>
                <w:sz w:val="24"/>
                <w:szCs w:val="24"/>
              </w:rPr>
            </w:pPr>
            <w:r>
              <w:rPr>
                <w:rFonts w:hint="eastAsia" w:cs="宋体"/>
                <w:color w:val="000000"/>
                <w:kern w:val="0"/>
                <w:sz w:val="24"/>
                <w:szCs w:val="24"/>
              </w:rPr>
              <w:t>平台监测</w:t>
            </w:r>
          </w:p>
        </w:tc>
      </w:tr>
      <w:tr>
        <w:tblPrEx>
          <w:tblCellMar>
            <w:top w:w="0" w:type="dxa"/>
            <w:left w:w="108" w:type="dxa"/>
            <w:bottom w:w="0" w:type="dxa"/>
            <w:right w:w="108" w:type="dxa"/>
          </w:tblCellMar>
        </w:tblPrEx>
        <w:trPr>
          <w:trHeight w:val="87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hint="eastAsia" w:cs="Times New Roman"/>
                <w:color w:val="000000"/>
                <w:sz w:val="24"/>
                <w:szCs w:val="24"/>
              </w:rPr>
            </w:pPr>
            <w:r>
              <w:rPr>
                <w:rFonts w:hint="eastAsia" w:cs="Times New Roman"/>
                <w:color w:val="000000"/>
                <w:sz w:val="24"/>
                <w:szCs w:val="24"/>
              </w:rPr>
              <w:t>2</w:t>
            </w:r>
            <w:r>
              <w:rPr>
                <w:rFonts w:cs="Times New Roman"/>
                <w:color w:val="000000"/>
                <w:sz w:val="24"/>
                <w:szCs w:val="24"/>
              </w:rPr>
              <w:t>3</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cs="宋体"/>
                <w:color w:val="000000"/>
                <w:kern w:val="0"/>
                <w:sz w:val="24"/>
                <w:szCs w:val="24"/>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cs="宋体"/>
                <w:color w:val="000000"/>
                <w:kern w:val="0"/>
                <w:sz w:val="24"/>
                <w:szCs w:val="24"/>
              </w:rPr>
            </w:pPr>
          </w:p>
        </w:tc>
        <w:tc>
          <w:tcPr>
            <w:tcW w:w="7655" w:type="dxa"/>
            <w:tcBorders>
              <w:top w:val="single" w:color="000000" w:sz="4" w:space="0"/>
              <w:left w:val="single" w:color="000000" w:sz="4" w:space="0"/>
              <w:bottom w:val="single" w:color="000000" w:sz="4" w:space="0"/>
              <w:right w:val="single" w:color="000000" w:sz="4" w:space="0"/>
            </w:tcBorders>
            <w:noWrap w:val="0"/>
            <w:vAlign w:val="top"/>
          </w:tcPr>
          <w:p>
            <w:pPr>
              <w:widowControl/>
              <w:spacing w:line="240" w:lineRule="auto"/>
              <w:ind w:firstLine="0" w:firstLineChars="0"/>
              <w:rPr>
                <w:rFonts w:hint="eastAsia" w:cs="宋体"/>
                <w:color w:val="000000"/>
                <w:kern w:val="0"/>
                <w:sz w:val="24"/>
                <w:szCs w:val="24"/>
              </w:rPr>
            </w:pPr>
            <w:r>
              <w:rPr>
                <w:rFonts w:hint="eastAsia" w:cs="宋体"/>
                <w:color w:val="000000"/>
                <w:kern w:val="0"/>
                <w:sz w:val="24"/>
                <w:szCs w:val="24"/>
              </w:rPr>
              <w:t>根据“两客一危”涉嫌违法违规事项核查处理省级抽查合格率全省排名从高到低得分：第</w:t>
            </w:r>
            <w:r>
              <w:rPr>
                <w:rFonts w:cs="宋体"/>
                <w:color w:val="000000"/>
                <w:kern w:val="0"/>
                <w:sz w:val="24"/>
                <w:szCs w:val="24"/>
              </w:rPr>
              <w:t>1-</w:t>
            </w:r>
            <w:r>
              <w:rPr>
                <w:rFonts w:hint="eastAsia" w:cs="宋体"/>
                <w:color w:val="000000"/>
                <w:kern w:val="0"/>
                <w:sz w:val="24"/>
                <w:szCs w:val="24"/>
              </w:rPr>
              <w:t>12</w:t>
            </w:r>
            <w:r>
              <w:rPr>
                <w:rFonts w:cs="宋体"/>
                <w:color w:val="000000"/>
                <w:kern w:val="0"/>
                <w:sz w:val="24"/>
                <w:szCs w:val="24"/>
              </w:rPr>
              <w:t>名，</w:t>
            </w:r>
            <w:r>
              <w:rPr>
                <w:rFonts w:hint="eastAsia" w:cs="宋体"/>
                <w:color w:val="000000"/>
                <w:kern w:val="0"/>
                <w:sz w:val="24"/>
                <w:szCs w:val="24"/>
              </w:rPr>
              <w:t>得2分</w:t>
            </w:r>
            <w:r>
              <w:rPr>
                <w:rFonts w:cs="宋体"/>
                <w:color w:val="000000"/>
                <w:kern w:val="0"/>
                <w:sz w:val="24"/>
                <w:szCs w:val="24"/>
              </w:rPr>
              <w:t>；第</w:t>
            </w:r>
            <w:r>
              <w:rPr>
                <w:rFonts w:hint="eastAsia" w:cs="宋体"/>
                <w:color w:val="000000"/>
                <w:kern w:val="0"/>
                <w:sz w:val="24"/>
                <w:szCs w:val="24"/>
              </w:rPr>
              <w:t>13-15</w:t>
            </w:r>
            <w:r>
              <w:rPr>
                <w:rFonts w:cs="宋体"/>
                <w:color w:val="000000"/>
                <w:kern w:val="0"/>
                <w:sz w:val="24"/>
                <w:szCs w:val="24"/>
              </w:rPr>
              <w:t>名，</w:t>
            </w:r>
            <w:r>
              <w:rPr>
                <w:rFonts w:hint="eastAsia" w:cs="宋体"/>
                <w:color w:val="000000"/>
                <w:kern w:val="0"/>
                <w:sz w:val="24"/>
                <w:szCs w:val="24"/>
              </w:rPr>
              <w:t>得</w:t>
            </w:r>
            <w:r>
              <w:rPr>
                <w:rFonts w:cs="宋体"/>
                <w:color w:val="000000"/>
                <w:kern w:val="0"/>
                <w:sz w:val="24"/>
                <w:szCs w:val="24"/>
              </w:rPr>
              <w:t>1分；第</w:t>
            </w:r>
            <w:r>
              <w:rPr>
                <w:rFonts w:hint="eastAsia" w:cs="宋体"/>
                <w:color w:val="000000"/>
                <w:kern w:val="0"/>
                <w:sz w:val="24"/>
                <w:szCs w:val="24"/>
              </w:rPr>
              <w:t>16</w:t>
            </w:r>
            <w:r>
              <w:rPr>
                <w:rFonts w:cs="宋体"/>
                <w:color w:val="000000"/>
                <w:kern w:val="0"/>
                <w:sz w:val="24"/>
                <w:szCs w:val="24"/>
              </w:rPr>
              <w:t>-</w:t>
            </w:r>
            <w:r>
              <w:rPr>
                <w:rFonts w:hint="eastAsia" w:cs="宋体"/>
                <w:color w:val="000000"/>
                <w:kern w:val="0"/>
                <w:sz w:val="24"/>
                <w:szCs w:val="24"/>
              </w:rPr>
              <w:t>18</w:t>
            </w:r>
            <w:r>
              <w:rPr>
                <w:rFonts w:cs="宋体"/>
                <w:color w:val="000000"/>
                <w:kern w:val="0"/>
                <w:sz w:val="24"/>
                <w:szCs w:val="24"/>
              </w:rPr>
              <w:t>名，</w:t>
            </w:r>
            <w:r>
              <w:rPr>
                <w:rFonts w:hint="eastAsia" w:cs="宋体"/>
                <w:color w:val="000000"/>
                <w:kern w:val="0"/>
                <w:sz w:val="24"/>
                <w:szCs w:val="24"/>
              </w:rPr>
              <w:t>不得分</w:t>
            </w:r>
            <w:r>
              <w:rPr>
                <w:rFonts w:cs="宋体"/>
                <w:color w:val="000000"/>
                <w:kern w:val="0"/>
                <w:sz w:val="24"/>
                <w:szCs w:val="24"/>
              </w:rPr>
              <w:t>。</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cs="宋体"/>
                <w:color w:val="000000"/>
                <w:kern w:val="0"/>
                <w:sz w:val="24"/>
                <w:szCs w:val="24"/>
              </w:rPr>
            </w:pPr>
            <w:r>
              <w:rPr>
                <w:rFonts w:hint="eastAsia" w:cs="宋体"/>
                <w:color w:val="000000"/>
                <w:kern w:val="0"/>
                <w:sz w:val="24"/>
                <w:szCs w:val="24"/>
              </w:rPr>
              <w:t>2</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cs="宋体"/>
                <w:color w:val="000000"/>
                <w:kern w:val="0"/>
                <w:sz w:val="24"/>
                <w:szCs w:val="24"/>
              </w:rPr>
            </w:pPr>
            <w:r>
              <w:rPr>
                <w:rFonts w:hint="eastAsia" w:cs="宋体"/>
                <w:color w:val="000000"/>
                <w:kern w:val="0"/>
                <w:sz w:val="24"/>
                <w:szCs w:val="24"/>
              </w:rPr>
              <w:t>平台监测</w:t>
            </w:r>
          </w:p>
        </w:tc>
      </w:tr>
      <w:tr>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hint="eastAsia" w:cs="Times New Roman"/>
                <w:color w:val="000000"/>
                <w:sz w:val="24"/>
                <w:szCs w:val="24"/>
              </w:rPr>
            </w:pPr>
            <w:r>
              <w:rPr>
                <w:rFonts w:hint="eastAsia" w:cs="Times New Roman"/>
                <w:color w:val="000000"/>
                <w:sz w:val="24"/>
                <w:szCs w:val="24"/>
              </w:rPr>
              <w:t>2</w:t>
            </w:r>
            <w:r>
              <w:rPr>
                <w:rFonts w:cs="Times New Roman"/>
                <w:color w:val="000000"/>
                <w:sz w:val="24"/>
                <w:szCs w:val="24"/>
              </w:rPr>
              <w:t>4</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cs="宋体"/>
                <w:color w:val="000000"/>
                <w:kern w:val="0"/>
                <w:sz w:val="24"/>
                <w:szCs w:val="24"/>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cs="宋体"/>
                <w:color w:val="000000"/>
                <w:kern w:val="0"/>
                <w:sz w:val="24"/>
                <w:szCs w:val="24"/>
              </w:rPr>
            </w:pPr>
          </w:p>
        </w:tc>
        <w:tc>
          <w:tcPr>
            <w:tcW w:w="76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rPr>
                <w:rFonts w:hint="eastAsia" w:cs="宋体"/>
                <w:color w:val="000000"/>
                <w:kern w:val="0"/>
                <w:sz w:val="24"/>
                <w:szCs w:val="24"/>
              </w:rPr>
            </w:pPr>
            <w:r>
              <w:rPr>
                <w:rFonts w:hint="eastAsia" w:cs="宋体"/>
                <w:color w:val="000000"/>
                <w:kern w:val="0"/>
                <w:sz w:val="24"/>
                <w:szCs w:val="24"/>
              </w:rPr>
              <w:t>根据涉嫌非法营运车辆布控拦截成功率全省排名从高到低得分：第</w:t>
            </w:r>
            <w:r>
              <w:rPr>
                <w:rFonts w:cs="宋体"/>
                <w:color w:val="000000"/>
                <w:kern w:val="0"/>
                <w:sz w:val="24"/>
                <w:szCs w:val="24"/>
              </w:rPr>
              <w:t>1-3名，</w:t>
            </w:r>
            <w:r>
              <w:rPr>
                <w:rFonts w:hint="eastAsia" w:cs="宋体"/>
                <w:color w:val="000000"/>
                <w:kern w:val="0"/>
                <w:sz w:val="24"/>
                <w:szCs w:val="24"/>
              </w:rPr>
              <w:t>得2分</w:t>
            </w:r>
            <w:r>
              <w:rPr>
                <w:rFonts w:cs="宋体"/>
                <w:color w:val="000000"/>
                <w:kern w:val="0"/>
                <w:sz w:val="24"/>
                <w:szCs w:val="24"/>
              </w:rPr>
              <w:t>；第4-8名，</w:t>
            </w:r>
            <w:r>
              <w:rPr>
                <w:rFonts w:hint="eastAsia" w:cs="宋体"/>
                <w:color w:val="000000"/>
                <w:kern w:val="0"/>
                <w:sz w:val="24"/>
                <w:szCs w:val="24"/>
              </w:rPr>
              <w:t>得</w:t>
            </w:r>
            <w:r>
              <w:rPr>
                <w:rFonts w:cs="宋体"/>
                <w:color w:val="000000"/>
                <w:kern w:val="0"/>
                <w:sz w:val="24"/>
                <w:szCs w:val="24"/>
              </w:rPr>
              <w:t>1分；第9-18名，</w:t>
            </w:r>
            <w:r>
              <w:rPr>
                <w:rFonts w:hint="eastAsia" w:cs="宋体"/>
                <w:color w:val="000000"/>
                <w:kern w:val="0"/>
                <w:sz w:val="24"/>
                <w:szCs w:val="24"/>
              </w:rPr>
              <w:t>不得分</w:t>
            </w:r>
            <w:r>
              <w:rPr>
                <w:rFonts w:cs="宋体"/>
                <w:color w:val="000000"/>
                <w:kern w:val="0"/>
                <w:sz w:val="24"/>
                <w:szCs w:val="24"/>
              </w:rPr>
              <w:t>。</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hint="eastAsia" w:cs="宋体"/>
                <w:color w:val="000000"/>
                <w:kern w:val="0"/>
                <w:sz w:val="24"/>
                <w:szCs w:val="24"/>
              </w:rPr>
            </w:pPr>
            <w:r>
              <w:rPr>
                <w:rFonts w:cs="宋体"/>
                <w:color w:val="000000"/>
                <w:kern w:val="0"/>
                <w:sz w:val="24"/>
                <w:szCs w:val="24"/>
              </w:rPr>
              <w:t>2</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cs="宋体"/>
                <w:color w:val="000000"/>
                <w:kern w:val="0"/>
                <w:sz w:val="24"/>
                <w:szCs w:val="24"/>
              </w:rPr>
            </w:pPr>
            <w:r>
              <w:rPr>
                <w:rFonts w:hint="eastAsia" w:cs="宋体"/>
                <w:color w:val="000000"/>
                <w:kern w:val="0"/>
                <w:sz w:val="24"/>
                <w:szCs w:val="24"/>
              </w:rPr>
              <w:t>平台监测</w:t>
            </w:r>
          </w:p>
        </w:tc>
      </w:tr>
      <w:tr>
        <w:tblPrEx>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cs="Times New Roman"/>
                <w:color w:val="000000"/>
                <w:kern w:val="0"/>
                <w:sz w:val="24"/>
                <w:szCs w:val="24"/>
              </w:rPr>
            </w:pPr>
            <w:r>
              <w:rPr>
                <w:rFonts w:hint="eastAsia" w:cs="Times New Roman"/>
                <w:color w:val="000000"/>
                <w:sz w:val="24"/>
                <w:szCs w:val="24"/>
              </w:rPr>
              <w:t>25</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cs="宋体"/>
                <w:color w:val="000000"/>
                <w:kern w:val="0"/>
                <w:sz w:val="24"/>
                <w:szCs w:val="24"/>
              </w:rPr>
            </w:pPr>
          </w:p>
        </w:tc>
        <w:tc>
          <w:tcPr>
            <w:tcW w:w="22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cs="宋体"/>
                <w:color w:val="000000"/>
                <w:kern w:val="0"/>
                <w:sz w:val="24"/>
                <w:szCs w:val="24"/>
              </w:rPr>
            </w:pPr>
            <w:r>
              <w:rPr>
                <w:rFonts w:hint="eastAsia" w:cs="宋体"/>
                <w:color w:val="000000"/>
                <w:kern w:val="0"/>
                <w:sz w:val="24"/>
                <w:szCs w:val="24"/>
              </w:rPr>
              <w:t>规范“两客一危”运输企业安全等级评价（2分）</w:t>
            </w:r>
          </w:p>
        </w:tc>
        <w:tc>
          <w:tcPr>
            <w:tcW w:w="76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rPr>
                <w:rFonts w:hint="eastAsia" w:cs="宋体"/>
                <w:color w:val="000000"/>
                <w:kern w:val="0"/>
                <w:sz w:val="24"/>
                <w:szCs w:val="24"/>
              </w:rPr>
            </w:pPr>
            <w:r>
              <w:rPr>
                <w:rFonts w:hint="eastAsia" w:cs="宋体"/>
                <w:color w:val="000000"/>
                <w:kern w:val="0"/>
                <w:sz w:val="24"/>
                <w:szCs w:val="24"/>
              </w:rPr>
              <w:t>根据辖区内“红、橙”码企业占比全省排名从高到低得分：第</w:t>
            </w:r>
            <w:r>
              <w:rPr>
                <w:rFonts w:cs="宋体"/>
                <w:color w:val="000000"/>
                <w:kern w:val="0"/>
                <w:sz w:val="24"/>
                <w:szCs w:val="24"/>
              </w:rPr>
              <w:t>1-3名，</w:t>
            </w:r>
            <w:r>
              <w:rPr>
                <w:rFonts w:hint="eastAsia" w:cs="宋体"/>
                <w:color w:val="000000"/>
                <w:kern w:val="0"/>
                <w:sz w:val="24"/>
                <w:szCs w:val="24"/>
              </w:rPr>
              <w:t>不得分</w:t>
            </w:r>
            <w:r>
              <w:rPr>
                <w:rFonts w:cs="宋体"/>
                <w:color w:val="000000"/>
                <w:kern w:val="0"/>
                <w:sz w:val="24"/>
                <w:szCs w:val="24"/>
              </w:rPr>
              <w:t>；第4-6名，</w:t>
            </w:r>
            <w:r>
              <w:rPr>
                <w:rFonts w:hint="eastAsia" w:cs="宋体"/>
                <w:color w:val="000000"/>
                <w:kern w:val="0"/>
                <w:sz w:val="24"/>
                <w:szCs w:val="24"/>
              </w:rPr>
              <w:t>得</w:t>
            </w:r>
            <w:r>
              <w:rPr>
                <w:rFonts w:cs="宋体"/>
                <w:color w:val="000000"/>
                <w:kern w:val="0"/>
                <w:sz w:val="24"/>
                <w:szCs w:val="24"/>
              </w:rPr>
              <w:t>1分；第7-18名，</w:t>
            </w:r>
            <w:r>
              <w:rPr>
                <w:rFonts w:hint="eastAsia" w:cs="宋体"/>
                <w:color w:val="000000"/>
                <w:kern w:val="0"/>
                <w:sz w:val="24"/>
                <w:szCs w:val="24"/>
              </w:rPr>
              <w:t>得2分</w:t>
            </w:r>
            <w:r>
              <w:rPr>
                <w:rFonts w:cs="宋体"/>
                <w:color w:val="000000"/>
                <w:kern w:val="0"/>
                <w:sz w:val="24"/>
                <w:szCs w:val="24"/>
              </w:rPr>
              <w:t>。</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hint="eastAsia" w:cs="宋体"/>
                <w:color w:val="000000"/>
                <w:kern w:val="0"/>
                <w:sz w:val="24"/>
                <w:szCs w:val="24"/>
              </w:rPr>
            </w:pPr>
            <w:r>
              <w:rPr>
                <w:rFonts w:cs="宋体"/>
                <w:color w:val="000000"/>
                <w:kern w:val="0"/>
                <w:sz w:val="24"/>
                <w:szCs w:val="24"/>
              </w:rPr>
              <w:t>2</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cs="宋体"/>
                <w:color w:val="000000"/>
                <w:kern w:val="0"/>
                <w:sz w:val="24"/>
                <w:szCs w:val="24"/>
              </w:rPr>
            </w:pPr>
            <w:r>
              <w:rPr>
                <w:rFonts w:hint="eastAsia" w:cs="宋体"/>
                <w:color w:val="000000"/>
                <w:kern w:val="0"/>
                <w:sz w:val="24"/>
                <w:szCs w:val="24"/>
              </w:rPr>
              <w:t>平台监测</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cs="Times New Roman"/>
                <w:color w:val="000000"/>
                <w:kern w:val="0"/>
                <w:sz w:val="24"/>
                <w:szCs w:val="24"/>
              </w:rPr>
            </w:pPr>
            <w:r>
              <w:rPr>
                <w:rFonts w:cs="Times New Roman"/>
                <w:color w:val="000000"/>
                <w:sz w:val="24"/>
                <w:szCs w:val="24"/>
              </w:rPr>
              <w:t>2</w:t>
            </w:r>
            <w:r>
              <w:rPr>
                <w:rFonts w:hint="eastAsia" w:cs="Times New Roman"/>
                <w:color w:val="000000"/>
                <w:sz w:val="24"/>
                <w:szCs w:val="24"/>
              </w:rPr>
              <w:t>6</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cs="宋体"/>
                <w:color w:val="000000"/>
                <w:kern w:val="0"/>
                <w:sz w:val="24"/>
                <w:szCs w:val="24"/>
              </w:rPr>
            </w:pPr>
          </w:p>
        </w:tc>
        <w:tc>
          <w:tcPr>
            <w:tcW w:w="225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hint="eastAsia" w:cs="宋体"/>
                <w:color w:val="000000"/>
                <w:kern w:val="0"/>
                <w:sz w:val="24"/>
                <w:szCs w:val="24"/>
              </w:rPr>
            </w:pPr>
            <w:r>
              <w:rPr>
                <w:rFonts w:hint="eastAsia" w:cs="宋体"/>
                <w:color w:val="000000"/>
                <w:kern w:val="0"/>
                <w:sz w:val="24"/>
                <w:szCs w:val="24"/>
              </w:rPr>
              <w:t>严格分级分类监管措施落实（1</w:t>
            </w:r>
            <w:r>
              <w:rPr>
                <w:rFonts w:cs="宋体"/>
                <w:color w:val="000000"/>
                <w:kern w:val="0"/>
                <w:sz w:val="24"/>
                <w:szCs w:val="24"/>
              </w:rPr>
              <w:t>0</w:t>
            </w:r>
            <w:r>
              <w:rPr>
                <w:rFonts w:hint="eastAsia" w:cs="宋体"/>
                <w:color w:val="000000"/>
                <w:kern w:val="0"/>
                <w:sz w:val="24"/>
                <w:szCs w:val="24"/>
              </w:rPr>
              <w:t>分）</w:t>
            </w:r>
          </w:p>
        </w:tc>
        <w:tc>
          <w:tcPr>
            <w:tcW w:w="76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rPr>
                <w:rFonts w:hint="eastAsia" w:cs="宋体"/>
                <w:color w:val="000000"/>
                <w:kern w:val="0"/>
                <w:sz w:val="24"/>
                <w:szCs w:val="24"/>
              </w:rPr>
            </w:pPr>
            <w:r>
              <w:rPr>
                <w:rFonts w:hint="eastAsia" w:cs="宋体"/>
                <w:color w:val="000000"/>
                <w:kern w:val="0"/>
                <w:sz w:val="24"/>
                <w:szCs w:val="24"/>
              </w:rPr>
              <w:t>对辖区“红、橙、黄、蓝”码企业采取分级分类监管措施的，得1</w:t>
            </w:r>
            <w:r>
              <w:rPr>
                <w:rFonts w:cs="宋体"/>
                <w:color w:val="000000"/>
                <w:kern w:val="0"/>
                <w:sz w:val="24"/>
                <w:szCs w:val="24"/>
              </w:rPr>
              <w:t>0</w:t>
            </w:r>
            <w:r>
              <w:rPr>
                <w:rFonts w:hint="eastAsia" w:cs="宋体"/>
                <w:color w:val="000000"/>
                <w:kern w:val="0"/>
                <w:sz w:val="24"/>
                <w:szCs w:val="24"/>
              </w:rPr>
              <w:t>分；每季度每有</w:t>
            </w:r>
            <w:r>
              <w:rPr>
                <w:rFonts w:cs="宋体"/>
                <w:color w:val="000000"/>
                <w:kern w:val="0"/>
                <w:sz w:val="24"/>
                <w:szCs w:val="24"/>
              </w:rPr>
              <w:t>1</w:t>
            </w:r>
            <w:r>
              <w:rPr>
                <w:rFonts w:hint="eastAsia" w:cs="宋体"/>
                <w:color w:val="000000"/>
                <w:kern w:val="0"/>
                <w:sz w:val="24"/>
                <w:szCs w:val="24"/>
              </w:rPr>
              <w:t>家红码或橙码企业未落实惩戒措施的，</w:t>
            </w:r>
            <w:r>
              <w:rPr>
                <w:rFonts w:cs="宋体"/>
                <w:color w:val="000000"/>
                <w:kern w:val="0"/>
                <w:sz w:val="24"/>
                <w:szCs w:val="24"/>
              </w:rPr>
              <w:t>扣2分</w:t>
            </w:r>
            <w:r>
              <w:rPr>
                <w:rFonts w:hint="eastAsia" w:cs="宋体"/>
                <w:color w:val="000000"/>
                <w:kern w:val="0"/>
                <w:sz w:val="24"/>
                <w:szCs w:val="24"/>
              </w:rPr>
              <w:t>，</w:t>
            </w:r>
            <w:r>
              <w:rPr>
                <w:rFonts w:cs="宋体"/>
                <w:color w:val="000000"/>
                <w:kern w:val="0"/>
                <w:sz w:val="24"/>
                <w:szCs w:val="24"/>
              </w:rPr>
              <w:t>扣完为止。</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hint="eastAsia" w:cs="宋体"/>
                <w:color w:val="000000"/>
                <w:kern w:val="0"/>
                <w:sz w:val="24"/>
                <w:szCs w:val="24"/>
              </w:rPr>
            </w:pPr>
            <w:r>
              <w:rPr>
                <w:rFonts w:hint="eastAsia" w:cs="宋体"/>
                <w:color w:val="000000"/>
                <w:kern w:val="0"/>
                <w:sz w:val="24"/>
                <w:szCs w:val="24"/>
              </w:rPr>
              <w:t>10</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cs="宋体"/>
                <w:color w:val="000000"/>
                <w:kern w:val="0"/>
                <w:sz w:val="24"/>
                <w:szCs w:val="24"/>
              </w:rPr>
            </w:pPr>
            <w:r>
              <w:rPr>
                <w:rFonts w:hint="eastAsia" w:cs="宋体"/>
                <w:color w:val="000000"/>
                <w:kern w:val="0"/>
                <w:sz w:val="24"/>
                <w:szCs w:val="24"/>
              </w:rPr>
              <w:t>地市报送、抽查检查</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cs="Times New Roman"/>
                <w:color w:val="000000"/>
                <w:kern w:val="0"/>
                <w:sz w:val="24"/>
                <w:szCs w:val="24"/>
              </w:rPr>
            </w:pPr>
            <w:r>
              <w:rPr>
                <w:rFonts w:cs="Times New Roman"/>
                <w:color w:val="000000"/>
                <w:sz w:val="24"/>
                <w:szCs w:val="24"/>
              </w:rPr>
              <w:t>2</w:t>
            </w:r>
            <w:r>
              <w:rPr>
                <w:rFonts w:hint="eastAsia" w:cs="Times New Roman"/>
                <w:color w:val="000000"/>
                <w:sz w:val="24"/>
                <w:szCs w:val="24"/>
              </w:rPr>
              <w:t>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firstLine="0" w:firstLineChars="0"/>
              <w:jc w:val="center"/>
              <w:rPr>
                <w:rFonts w:hint="eastAsia" w:cs="宋体"/>
                <w:color w:val="000000"/>
                <w:kern w:val="0"/>
                <w:sz w:val="24"/>
                <w:szCs w:val="24"/>
              </w:rPr>
            </w:pPr>
            <w:r>
              <w:rPr>
                <w:rFonts w:hint="eastAsia" w:cs="宋体"/>
                <w:color w:val="000000"/>
                <w:kern w:val="0"/>
                <w:sz w:val="24"/>
                <w:szCs w:val="24"/>
              </w:rPr>
              <w:t>执法领域</w:t>
            </w:r>
          </w:p>
          <w:p>
            <w:pPr>
              <w:widowControl/>
              <w:spacing w:line="240" w:lineRule="auto"/>
              <w:ind w:firstLine="0" w:firstLineChars="0"/>
              <w:jc w:val="center"/>
              <w:rPr>
                <w:rFonts w:hint="eastAsia" w:cs="宋体"/>
                <w:color w:val="000000"/>
                <w:kern w:val="0"/>
                <w:sz w:val="24"/>
                <w:szCs w:val="24"/>
              </w:rPr>
            </w:pPr>
            <w:r>
              <w:rPr>
                <w:rFonts w:hint="eastAsia" w:cs="宋体"/>
                <w:color w:val="000000"/>
                <w:kern w:val="0"/>
                <w:sz w:val="24"/>
                <w:szCs w:val="24"/>
              </w:rPr>
              <w:t>（</w:t>
            </w:r>
            <w:r>
              <w:rPr>
                <w:rFonts w:cs="宋体"/>
                <w:color w:val="000000"/>
                <w:kern w:val="0"/>
                <w:sz w:val="24"/>
                <w:szCs w:val="24"/>
              </w:rPr>
              <w:t>2</w:t>
            </w:r>
            <w:r>
              <w:rPr>
                <w:rFonts w:hint="eastAsia" w:cs="宋体"/>
                <w:color w:val="000000"/>
                <w:kern w:val="0"/>
                <w:sz w:val="24"/>
                <w:szCs w:val="24"/>
              </w:rPr>
              <w:t>2分）</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spacing w:line="240" w:lineRule="auto"/>
              <w:ind w:firstLine="0" w:firstLineChars="0"/>
              <w:jc w:val="center"/>
              <w:rPr>
                <w:rFonts w:hint="eastAsia" w:cs="宋体"/>
                <w:kern w:val="0"/>
                <w:sz w:val="24"/>
                <w:szCs w:val="24"/>
              </w:rPr>
            </w:pPr>
            <w:r>
              <w:rPr>
                <w:rFonts w:hint="eastAsia" w:cs="宋体"/>
                <w:kern w:val="0"/>
                <w:sz w:val="24"/>
                <w:szCs w:val="24"/>
              </w:rPr>
              <w:t>推进严格规范公正文明执法（1</w:t>
            </w:r>
            <w:r>
              <w:rPr>
                <w:rFonts w:cs="宋体"/>
                <w:kern w:val="0"/>
                <w:sz w:val="24"/>
                <w:szCs w:val="24"/>
              </w:rPr>
              <w:t>0</w:t>
            </w:r>
            <w:r>
              <w:rPr>
                <w:rFonts w:hint="eastAsia" w:cs="宋体"/>
                <w:kern w:val="0"/>
                <w:sz w:val="24"/>
                <w:szCs w:val="24"/>
              </w:rPr>
              <w:t>分）</w:t>
            </w:r>
          </w:p>
        </w:tc>
        <w:tc>
          <w:tcPr>
            <w:tcW w:w="76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rPr>
                <w:rFonts w:hint="eastAsia" w:cs="宋体"/>
                <w:kern w:val="0"/>
                <w:sz w:val="24"/>
                <w:szCs w:val="24"/>
              </w:rPr>
            </w:pPr>
            <w:r>
              <w:rPr>
                <w:rFonts w:hint="eastAsia" w:cs="华文仿宋"/>
                <w:kern w:val="0"/>
                <w:sz w:val="24"/>
                <w:szCs w:val="24"/>
              </w:rPr>
              <w:t>检查各地组织开展执法队伍轮训、岗位训练等活动的培训材料和记录，开展相关工作的，得1分；否则，不得分。</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hint="eastAsia" w:cs="宋体"/>
                <w:kern w:val="0"/>
                <w:sz w:val="24"/>
                <w:szCs w:val="24"/>
              </w:rPr>
            </w:pPr>
            <w:r>
              <w:rPr>
                <w:rFonts w:hint="eastAsia" w:cs="宋体"/>
                <w:kern w:val="0"/>
                <w:sz w:val="24"/>
                <w:szCs w:val="24"/>
              </w:rPr>
              <w:t>1</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cs="华文仿宋"/>
                <w:kern w:val="0"/>
                <w:sz w:val="24"/>
                <w:szCs w:val="24"/>
              </w:rPr>
            </w:pPr>
            <w:r>
              <w:rPr>
                <w:rFonts w:hint="eastAsia" w:cs="华文仿宋"/>
                <w:kern w:val="0"/>
                <w:sz w:val="24"/>
                <w:szCs w:val="24"/>
              </w:rPr>
              <w:t>地市报送</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cs="Times New Roman"/>
                <w:color w:val="000000"/>
                <w:sz w:val="24"/>
                <w:szCs w:val="24"/>
              </w:rPr>
            </w:pPr>
            <w:r>
              <w:rPr>
                <w:rFonts w:hint="eastAsia" w:cs="Times New Roman"/>
                <w:color w:val="000000"/>
                <w:sz w:val="24"/>
                <w:szCs w:val="24"/>
              </w:rPr>
              <w:t>28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firstLine="0" w:firstLineChars="0"/>
              <w:jc w:val="center"/>
              <w:rPr>
                <w:rFonts w:cs="宋体"/>
                <w:color w:val="000000"/>
                <w:kern w:val="0"/>
                <w:sz w:val="24"/>
                <w:szCs w:val="24"/>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spacing w:line="240" w:lineRule="auto"/>
              <w:ind w:firstLine="0" w:firstLineChars="0"/>
              <w:jc w:val="center"/>
              <w:rPr>
                <w:rFonts w:hint="eastAsia" w:cs="宋体"/>
                <w:kern w:val="0"/>
                <w:sz w:val="24"/>
                <w:szCs w:val="24"/>
              </w:rPr>
            </w:pPr>
          </w:p>
        </w:tc>
        <w:tc>
          <w:tcPr>
            <w:tcW w:w="7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firstLine="0" w:firstLineChars="0"/>
              <w:rPr>
                <w:rFonts w:hint="eastAsia" w:cs="华文仿宋"/>
                <w:kern w:val="0"/>
                <w:sz w:val="24"/>
                <w:szCs w:val="24"/>
              </w:rPr>
            </w:pPr>
            <w:r>
              <w:rPr>
                <w:rFonts w:hint="eastAsia" w:cs="华文仿宋"/>
                <w:kern w:val="0"/>
                <w:sz w:val="24"/>
                <w:szCs w:val="24"/>
              </w:rPr>
              <w:t>按照全省交通运输执法工作绩效评价群众满意度第三方评估排名从高到低得分：第1-</w:t>
            </w:r>
            <w:r>
              <w:rPr>
                <w:rFonts w:cs="华文仿宋"/>
                <w:kern w:val="0"/>
                <w:sz w:val="24"/>
                <w:szCs w:val="24"/>
              </w:rPr>
              <w:t>3</w:t>
            </w:r>
            <w:r>
              <w:rPr>
                <w:rFonts w:hint="eastAsia" w:cs="华文仿宋"/>
                <w:kern w:val="0"/>
                <w:sz w:val="24"/>
                <w:szCs w:val="24"/>
              </w:rPr>
              <w:t>名，得3分；第</w:t>
            </w:r>
            <w:r>
              <w:rPr>
                <w:rFonts w:cs="华文仿宋"/>
                <w:kern w:val="0"/>
                <w:sz w:val="24"/>
                <w:szCs w:val="24"/>
              </w:rPr>
              <w:t>4</w:t>
            </w:r>
            <w:r>
              <w:rPr>
                <w:rFonts w:hint="eastAsia" w:cs="华文仿宋"/>
                <w:kern w:val="0"/>
                <w:sz w:val="24"/>
                <w:szCs w:val="24"/>
              </w:rPr>
              <w:t>-</w:t>
            </w:r>
            <w:r>
              <w:rPr>
                <w:rFonts w:cs="华文仿宋"/>
                <w:kern w:val="0"/>
                <w:sz w:val="24"/>
                <w:szCs w:val="24"/>
              </w:rPr>
              <w:t>9</w:t>
            </w:r>
            <w:r>
              <w:rPr>
                <w:rFonts w:hint="eastAsia" w:cs="华文仿宋"/>
                <w:kern w:val="0"/>
                <w:sz w:val="24"/>
                <w:szCs w:val="24"/>
              </w:rPr>
              <w:t>名，得1.5分；第10-18名，不得分。</w:t>
            </w:r>
          </w:p>
        </w:tc>
        <w:tc>
          <w:tcPr>
            <w:tcW w:w="70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auto"/>
              <w:ind w:firstLine="0" w:firstLineChars="0"/>
              <w:jc w:val="center"/>
              <w:rPr>
                <w:rFonts w:cs="宋体"/>
                <w:kern w:val="0"/>
                <w:sz w:val="24"/>
                <w:szCs w:val="24"/>
              </w:rPr>
            </w:pPr>
            <w:r>
              <w:rPr>
                <w:rFonts w:hint="eastAsia" w:cs="宋体"/>
                <w:kern w:val="0"/>
                <w:sz w:val="24"/>
                <w:szCs w:val="24"/>
              </w:rPr>
              <w:t>3</w:t>
            </w:r>
          </w:p>
        </w:tc>
        <w:tc>
          <w:tcPr>
            <w:tcW w:w="12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spacing w:line="240" w:lineRule="auto"/>
              <w:ind w:firstLine="0" w:firstLineChars="0"/>
              <w:jc w:val="center"/>
              <w:rPr>
                <w:rFonts w:hint="eastAsia" w:cs="华文仿宋"/>
                <w:kern w:val="0"/>
                <w:sz w:val="24"/>
                <w:szCs w:val="24"/>
              </w:rPr>
            </w:pPr>
            <w:r>
              <w:rPr>
                <w:rFonts w:hint="eastAsia" w:cs="华文仿宋"/>
                <w:kern w:val="0"/>
                <w:sz w:val="24"/>
                <w:szCs w:val="24"/>
              </w:rPr>
              <w:t>第三方评估结果</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cs="Times New Roman"/>
                <w:color w:val="000000"/>
                <w:kern w:val="0"/>
                <w:sz w:val="24"/>
                <w:szCs w:val="24"/>
              </w:rPr>
            </w:pPr>
            <w:r>
              <w:rPr>
                <w:rFonts w:hint="eastAsia" w:cs="Times New Roman"/>
                <w:color w:val="000000"/>
                <w:sz w:val="24"/>
                <w:szCs w:val="24"/>
              </w:rPr>
              <w:t>29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firstLine="0" w:firstLineChars="0"/>
              <w:jc w:val="center"/>
              <w:rPr>
                <w:rFonts w:cs="宋体"/>
                <w:color w:val="000000"/>
                <w:kern w:val="0"/>
                <w:sz w:val="24"/>
                <w:szCs w:val="24"/>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spacing w:line="240" w:lineRule="auto"/>
              <w:ind w:firstLine="0" w:firstLineChars="0"/>
              <w:jc w:val="center"/>
              <w:rPr>
                <w:rFonts w:hint="eastAsia" w:cs="宋体"/>
                <w:kern w:val="0"/>
                <w:sz w:val="24"/>
                <w:szCs w:val="24"/>
              </w:rPr>
            </w:pPr>
          </w:p>
        </w:tc>
        <w:tc>
          <w:tcPr>
            <w:tcW w:w="7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firstLine="0" w:firstLineChars="0"/>
              <w:rPr>
                <w:rFonts w:hint="eastAsia" w:cs="华文仿宋"/>
                <w:kern w:val="0"/>
                <w:sz w:val="24"/>
                <w:szCs w:val="24"/>
              </w:rPr>
            </w:pPr>
            <w:r>
              <w:rPr>
                <w:rFonts w:hint="eastAsia" w:cs="华文仿宋"/>
                <w:kern w:val="0"/>
                <w:sz w:val="24"/>
                <w:szCs w:val="24"/>
              </w:rPr>
              <w:t>随机抽取一定比例的办结案件，不存在行政处罚案件主体错误、案件主要事实认定不清、适用法律错误以及未进行亮证执法、未出具违法行为通知书、未听取当事人陈述申辩意见、缺少法定程序环节等重大执法程序错误的，得3分；每发现存在上述情况中1项的，扣0.5分，扣完为止。</w:t>
            </w:r>
          </w:p>
        </w:tc>
        <w:tc>
          <w:tcPr>
            <w:tcW w:w="70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auto"/>
              <w:ind w:firstLine="0" w:firstLineChars="0"/>
              <w:jc w:val="center"/>
              <w:rPr>
                <w:rFonts w:hint="eastAsia" w:cs="宋体"/>
                <w:kern w:val="0"/>
                <w:sz w:val="24"/>
                <w:szCs w:val="24"/>
              </w:rPr>
            </w:pPr>
            <w:r>
              <w:rPr>
                <w:rFonts w:hint="eastAsia" w:cs="宋体"/>
                <w:kern w:val="0"/>
                <w:sz w:val="24"/>
                <w:szCs w:val="24"/>
              </w:rPr>
              <w:t>3</w:t>
            </w:r>
          </w:p>
        </w:tc>
        <w:tc>
          <w:tcPr>
            <w:tcW w:w="12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spacing w:line="240" w:lineRule="auto"/>
              <w:ind w:firstLine="0" w:firstLineChars="0"/>
              <w:jc w:val="center"/>
              <w:rPr>
                <w:rFonts w:hint="eastAsia" w:cs="华文仿宋"/>
                <w:kern w:val="0"/>
                <w:sz w:val="24"/>
                <w:szCs w:val="24"/>
              </w:rPr>
            </w:pPr>
            <w:r>
              <w:rPr>
                <w:rFonts w:hint="eastAsia" w:cs="华文仿宋"/>
                <w:kern w:val="0"/>
                <w:sz w:val="24"/>
                <w:szCs w:val="24"/>
              </w:rPr>
              <w:t>抽查检查</w:t>
            </w:r>
          </w:p>
        </w:tc>
      </w:tr>
      <w:tr>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cs="Times New Roman"/>
                <w:color w:val="000000"/>
                <w:kern w:val="0"/>
                <w:sz w:val="24"/>
                <w:szCs w:val="24"/>
              </w:rPr>
            </w:pPr>
            <w:r>
              <w:rPr>
                <w:rFonts w:hint="eastAsia" w:cs="Times New Roman"/>
                <w:color w:val="000000"/>
                <w:sz w:val="24"/>
                <w:szCs w:val="24"/>
              </w:rPr>
              <w:t>30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firstLine="0" w:firstLineChars="0"/>
              <w:jc w:val="center"/>
              <w:rPr>
                <w:rFonts w:cs="宋体"/>
                <w:color w:val="000000"/>
                <w:kern w:val="0"/>
                <w:sz w:val="24"/>
                <w:szCs w:val="24"/>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firstLine="0" w:firstLineChars="0"/>
              <w:jc w:val="center"/>
              <w:rPr>
                <w:rFonts w:cs="宋体"/>
                <w:kern w:val="0"/>
                <w:sz w:val="24"/>
                <w:szCs w:val="24"/>
              </w:rPr>
            </w:pPr>
          </w:p>
        </w:tc>
        <w:tc>
          <w:tcPr>
            <w:tcW w:w="7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firstLine="0" w:firstLineChars="0"/>
              <w:rPr>
                <w:rFonts w:hint="eastAsia" w:cs="华文仿宋"/>
                <w:kern w:val="0"/>
                <w:sz w:val="24"/>
                <w:szCs w:val="24"/>
              </w:rPr>
            </w:pPr>
            <w:r>
              <w:rPr>
                <w:rFonts w:hint="eastAsia" w:cs="华文仿宋"/>
                <w:kern w:val="0"/>
                <w:sz w:val="24"/>
                <w:szCs w:val="24"/>
              </w:rPr>
              <w:t>行政执法队伍严格执行“八、六、四”规定要求的，得3分；每发现1人次违反的，扣1分，扣完为止。</w:t>
            </w:r>
          </w:p>
        </w:tc>
        <w:tc>
          <w:tcPr>
            <w:tcW w:w="70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auto"/>
              <w:ind w:firstLine="0" w:firstLineChars="0"/>
              <w:jc w:val="center"/>
              <w:rPr>
                <w:rFonts w:hint="eastAsia" w:cs="宋体"/>
                <w:kern w:val="0"/>
                <w:sz w:val="24"/>
                <w:szCs w:val="24"/>
              </w:rPr>
            </w:pPr>
            <w:r>
              <w:rPr>
                <w:rFonts w:hint="eastAsia" w:cs="宋体"/>
                <w:kern w:val="0"/>
                <w:sz w:val="24"/>
                <w:szCs w:val="24"/>
              </w:rPr>
              <w:t>3</w:t>
            </w:r>
          </w:p>
        </w:tc>
        <w:tc>
          <w:tcPr>
            <w:tcW w:w="12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spacing w:line="240" w:lineRule="auto"/>
              <w:ind w:firstLine="0" w:firstLineChars="0"/>
              <w:jc w:val="center"/>
              <w:rPr>
                <w:rFonts w:hint="eastAsia" w:cs="华文仿宋"/>
                <w:kern w:val="0"/>
                <w:sz w:val="24"/>
                <w:szCs w:val="24"/>
              </w:rPr>
            </w:pPr>
            <w:r>
              <w:rPr>
                <w:rFonts w:hint="eastAsia" w:cs="华文仿宋"/>
                <w:kern w:val="0"/>
                <w:sz w:val="24"/>
                <w:szCs w:val="24"/>
              </w:rPr>
              <w:t>日常监督、抽查检查</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cs="Times New Roman"/>
                <w:color w:val="000000"/>
                <w:sz w:val="24"/>
                <w:szCs w:val="24"/>
              </w:rPr>
            </w:pPr>
            <w:r>
              <w:rPr>
                <w:rFonts w:hint="eastAsia" w:cs="Times New Roman"/>
                <w:color w:val="000000"/>
                <w:sz w:val="24"/>
                <w:szCs w:val="24"/>
              </w:rPr>
              <w:t>31</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cs="宋体"/>
                <w:color w:val="000000"/>
                <w:kern w:val="0"/>
                <w:sz w:val="24"/>
                <w:szCs w:val="24"/>
              </w:rPr>
            </w:pPr>
          </w:p>
        </w:tc>
        <w:tc>
          <w:tcPr>
            <w:tcW w:w="225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cs="宋体"/>
                <w:color w:val="000000"/>
                <w:kern w:val="0"/>
                <w:sz w:val="24"/>
                <w:szCs w:val="24"/>
              </w:rPr>
            </w:pPr>
            <w:r>
              <w:rPr>
                <w:rFonts w:hint="eastAsia" w:cs="宋体"/>
                <w:kern w:val="0"/>
                <w:sz w:val="24"/>
                <w:szCs w:val="24"/>
              </w:rPr>
              <w:t>加强行政处罚信息归集应用（4分）</w:t>
            </w:r>
          </w:p>
        </w:tc>
        <w:tc>
          <w:tcPr>
            <w:tcW w:w="76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rPr>
                <w:rFonts w:hint="eastAsia" w:cs="宋体"/>
                <w:color w:val="000000"/>
                <w:kern w:val="0"/>
                <w:sz w:val="24"/>
                <w:szCs w:val="24"/>
              </w:rPr>
            </w:pPr>
            <w:r>
              <w:rPr>
                <w:rFonts w:hint="eastAsia" w:cs="华文仿宋"/>
                <w:kern w:val="0"/>
                <w:sz w:val="24"/>
                <w:szCs w:val="24"/>
              </w:rPr>
              <w:t>严格按照要求做好行政处罚信息归集和抄告，并按要求规范行政执法自由裁量权的，得2分；在日常监督检查中每发现1起行政处罚信息应归集未归集的，扣</w:t>
            </w:r>
            <w:r>
              <w:rPr>
                <w:rFonts w:cs="华文仿宋"/>
                <w:kern w:val="0"/>
                <w:sz w:val="24"/>
                <w:szCs w:val="24"/>
              </w:rPr>
              <w:t>0.5</w:t>
            </w:r>
            <w:r>
              <w:rPr>
                <w:rFonts w:hint="eastAsia" w:cs="华文仿宋"/>
                <w:kern w:val="0"/>
                <w:sz w:val="24"/>
                <w:szCs w:val="24"/>
              </w:rPr>
              <w:t>分；每发现1起应抄告未抄告的，扣0.5分；每发现1起未按照要求规范行政执法自由裁量权的，扣0.5分，扣完为止。</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cs="宋体"/>
                <w:color w:val="000000"/>
                <w:kern w:val="0"/>
                <w:sz w:val="24"/>
                <w:szCs w:val="24"/>
              </w:rPr>
            </w:pPr>
            <w:r>
              <w:rPr>
                <w:rFonts w:hint="eastAsia" w:cs="宋体"/>
                <w:kern w:val="0"/>
                <w:sz w:val="24"/>
                <w:szCs w:val="24"/>
              </w:rPr>
              <w:t>2</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cs="宋体"/>
                <w:color w:val="000000"/>
                <w:kern w:val="0"/>
                <w:sz w:val="24"/>
                <w:szCs w:val="24"/>
              </w:rPr>
            </w:pPr>
            <w:r>
              <w:rPr>
                <w:rFonts w:hint="eastAsia" w:cs="华文仿宋"/>
                <w:kern w:val="0"/>
                <w:sz w:val="24"/>
                <w:szCs w:val="24"/>
              </w:rPr>
              <w:t>抽查检查</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cs="Times New Roman"/>
                <w:color w:val="000000"/>
                <w:sz w:val="24"/>
                <w:szCs w:val="24"/>
              </w:rPr>
            </w:pPr>
            <w:r>
              <w:rPr>
                <w:rFonts w:cs="Times New Roman"/>
                <w:color w:val="000000"/>
                <w:sz w:val="24"/>
                <w:szCs w:val="24"/>
              </w:rPr>
              <w:t>3</w:t>
            </w:r>
            <w:r>
              <w:rPr>
                <w:rFonts w:hint="eastAsia" w:cs="Times New Roman"/>
                <w:color w:val="000000"/>
                <w:sz w:val="24"/>
                <w:szCs w:val="24"/>
              </w:rPr>
              <w:t>2</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cs="华文仿宋"/>
                <w:kern w:val="0"/>
                <w:sz w:val="24"/>
                <w:szCs w:val="24"/>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cs="华文仿宋"/>
                <w:kern w:val="0"/>
                <w:sz w:val="24"/>
                <w:szCs w:val="24"/>
              </w:rPr>
            </w:pPr>
          </w:p>
        </w:tc>
        <w:tc>
          <w:tcPr>
            <w:tcW w:w="76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rPr>
                <w:rFonts w:hint="eastAsia" w:cs="华文仿宋"/>
                <w:kern w:val="0"/>
                <w:sz w:val="24"/>
                <w:szCs w:val="24"/>
              </w:rPr>
            </w:pPr>
            <w:r>
              <w:rPr>
                <w:rFonts w:hint="eastAsia" w:cs="华文仿宋"/>
                <w:kern w:val="0"/>
                <w:sz w:val="24"/>
                <w:szCs w:val="24"/>
              </w:rPr>
              <w:t>落实轻微违法告知承诺的，得1分；否则，不得分。</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hint="eastAsia" w:cs="华文仿宋"/>
                <w:kern w:val="0"/>
                <w:sz w:val="24"/>
                <w:szCs w:val="24"/>
              </w:rPr>
            </w:pPr>
            <w:r>
              <w:rPr>
                <w:rFonts w:hint="eastAsia" w:cs="华文仿宋"/>
                <w:kern w:val="0"/>
                <w:sz w:val="24"/>
                <w:szCs w:val="24"/>
              </w:rPr>
              <w:t>1</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cs="华文仿宋"/>
                <w:kern w:val="0"/>
                <w:sz w:val="24"/>
                <w:szCs w:val="24"/>
              </w:rPr>
            </w:pPr>
            <w:r>
              <w:rPr>
                <w:rFonts w:hint="eastAsia" w:cs="华文仿宋"/>
                <w:kern w:val="0"/>
                <w:sz w:val="24"/>
                <w:szCs w:val="24"/>
              </w:rPr>
              <w:t>地市报送</w:t>
            </w:r>
          </w:p>
        </w:tc>
      </w:tr>
      <w:tr>
        <w:tblPrEx>
          <w:tblCellMar>
            <w:top w:w="0" w:type="dxa"/>
            <w:left w:w="108" w:type="dxa"/>
            <w:bottom w:w="0" w:type="dxa"/>
            <w:right w:w="108" w:type="dxa"/>
          </w:tblCellMar>
        </w:tblPrEx>
        <w:trPr>
          <w:trHeight w:val="5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cs="Times New Roman"/>
                <w:color w:val="000000"/>
                <w:sz w:val="24"/>
                <w:szCs w:val="24"/>
              </w:rPr>
            </w:pPr>
            <w:r>
              <w:rPr>
                <w:rFonts w:cs="Times New Roman"/>
                <w:color w:val="000000"/>
                <w:sz w:val="24"/>
                <w:szCs w:val="24"/>
              </w:rPr>
              <w:t>3</w:t>
            </w:r>
            <w:r>
              <w:rPr>
                <w:rFonts w:hint="eastAsia" w:cs="Times New Roman"/>
                <w:color w:val="000000"/>
                <w:sz w:val="24"/>
                <w:szCs w:val="24"/>
              </w:rPr>
              <w:t>3</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cs="华文仿宋"/>
                <w:kern w:val="0"/>
                <w:sz w:val="24"/>
                <w:szCs w:val="24"/>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cs="华文仿宋"/>
                <w:kern w:val="0"/>
                <w:sz w:val="24"/>
                <w:szCs w:val="24"/>
              </w:rPr>
            </w:pPr>
          </w:p>
        </w:tc>
        <w:tc>
          <w:tcPr>
            <w:tcW w:w="76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rPr>
                <w:rFonts w:hint="eastAsia" w:cs="华文仿宋"/>
                <w:kern w:val="0"/>
                <w:sz w:val="24"/>
                <w:szCs w:val="24"/>
              </w:rPr>
            </w:pPr>
            <w:r>
              <w:rPr>
                <w:rFonts w:hint="eastAsia" w:cs="华文仿宋"/>
                <w:kern w:val="0"/>
                <w:sz w:val="24"/>
                <w:szCs w:val="24"/>
              </w:rPr>
              <w:t>按要求指导失信主体进行信用修复的，得1分；否则，不得分。</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hint="eastAsia" w:cs="华文仿宋"/>
                <w:kern w:val="0"/>
                <w:sz w:val="24"/>
                <w:szCs w:val="24"/>
              </w:rPr>
            </w:pPr>
            <w:r>
              <w:rPr>
                <w:rFonts w:hint="eastAsia" w:cs="华文仿宋"/>
                <w:kern w:val="0"/>
                <w:sz w:val="24"/>
                <w:szCs w:val="24"/>
              </w:rPr>
              <w:t>1</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cs="华文仿宋"/>
                <w:kern w:val="0"/>
                <w:sz w:val="24"/>
                <w:szCs w:val="24"/>
              </w:rPr>
            </w:pPr>
            <w:r>
              <w:rPr>
                <w:rFonts w:hint="eastAsia" w:cs="华文仿宋"/>
                <w:kern w:val="0"/>
                <w:sz w:val="24"/>
                <w:szCs w:val="24"/>
              </w:rPr>
              <w:t>地市报送、平台监测</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center"/>
              <w:rPr>
                <w:rFonts w:cs="Times New Roman"/>
                <w:color w:val="000000"/>
                <w:kern w:val="0"/>
                <w:sz w:val="24"/>
                <w:szCs w:val="24"/>
              </w:rPr>
            </w:pPr>
            <w:r>
              <w:rPr>
                <w:rFonts w:hint="eastAsia" w:cs="Times New Roman"/>
                <w:color w:val="000000"/>
                <w:sz w:val="24"/>
                <w:szCs w:val="24"/>
              </w:rPr>
              <w:t>34</w:t>
            </w:r>
          </w:p>
        </w:tc>
        <w:tc>
          <w:tcPr>
            <w:tcW w:w="0" w:type="auto"/>
            <w:vMerge w:val="continue"/>
            <w:tcBorders>
              <w:top w:val="single" w:color="000000"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cs="宋体"/>
                <w:color w:val="000000"/>
                <w:kern w:val="0"/>
                <w:sz w:val="24"/>
                <w:szCs w:val="24"/>
              </w:rPr>
            </w:pPr>
          </w:p>
        </w:tc>
        <w:tc>
          <w:tcPr>
            <w:tcW w:w="2255" w:type="dxa"/>
            <w:vMerge w:val="restart"/>
            <w:tcBorders>
              <w:top w:val="single" w:color="000000"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cs="宋体"/>
                <w:color w:val="000000"/>
                <w:kern w:val="0"/>
                <w:sz w:val="24"/>
                <w:szCs w:val="24"/>
              </w:rPr>
            </w:pPr>
            <w:r>
              <w:rPr>
                <w:rFonts w:hint="eastAsia" w:cs="宋体"/>
                <w:color w:val="000000"/>
                <w:kern w:val="0"/>
                <w:sz w:val="24"/>
                <w:szCs w:val="24"/>
              </w:rPr>
              <w:t>强化信用治超管理</w:t>
            </w:r>
          </w:p>
          <w:p>
            <w:pPr>
              <w:widowControl/>
              <w:spacing w:line="240" w:lineRule="auto"/>
              <w:ind w:firstLine="0" w:firstLineChars="0"/>
              <w:jc w:val="center"/>
              <w:rPr>
                <w:rFonts w:hint="eastAsia" w:cs="宋体"/>
                <w:color w:val="000000"/>
                <w:kern w:val="0"/>
                <w:sz w:val="24"/>
                <w:szCs w:val="24"/>
              </w:rPr>
            </w:pPr>
            <w:r>
              <w:rPr>
                <w:rFonts w:hint="eastAsia" w:cs="宋体"/>
                <w:color w:val="000000"/>
                <w:kern w:val="0"/>
                <w:sz w:val="24"/>
                <w:szCs w:val="24"/>
              </w:rPr>
              <w:t>（8分）</w:t>
            </w:r>
          </w:p>
        </w:tc>
        <w:tc>
          <w:tcPr>
            <w:tcW w:w="7655" w:type="dxa"/>
            <w:tcBorders>
              <w:top w:val="single" w:color="000000" w:sz="4" w:space="0"/>
              <w:left w:val="single" w:color="auto" w:sz="4" w:space="0"/>
              <w:bottom w:val="single" w:color="auto" w:sz="4" w:space="0"/>
              <w:right w:val="single" w:color="auto" w:sz="4" w:space="0"/>
            </w:tcBorders>
            <w:noWrap w:val="0"/>
            <w:vAlign w:val="center"/>
          </w:tcPr>
          <w:p>
            <w:pPr>
              <w:widowControl/>
              <w:spacing w:line="240" w:lineRule="auto"/>
              <w:ind w:firstLine="0" w:firstLineChars="0"/>
              <w:rPr>
                <w:rFonts w:hint="eastAsia" w:cs="宋体"/>
                <w:color w:val="000000"/>
                <w:kern w:val="0"/>
                <w:sz w:val="24"/>
                <w:szCs w:val="24"/>
              </w:rPr>
            </w:pPr>
            <w:r>
              <w:rPr>
                <w:rFonts w:hint="eastAsia" w:cs="宋体"/>
                <w:color w:val="000000"/>
                <w:kern w:val="0"/>
                <w:sz w:val="24"/>
                <w:szCs w:val="24"/>
              </w:rPr>
              <w:t>在大件运输企业中应用信用承诺制的，得</w:t>
            </w:r>
            <w:r>
              <w:rPr>
                <w:rFonts w:cs="宋体"/>
                <w:color w:val="000000"/>
                <w:kern w:val="0"/>
                <w:sz w:val="24"/>
                <w:szCs w:val="24"/>
              </w:rPr>
              <w:t>1分</w:t>
            </w:r>
            <w:r>
              <w:rPr>
                <w:rFonts w:hint="eastAsia" w:cs="宋体"/>
                <w:color w:val="000000"/>
                <w:kern w:val="0"/>
                <w:sz w:val="24"/>
                <w:szCs w:val="24"/>
              </w:rPr>
              <w:t>；</w:t>
            </w:r>
            <w:r>
              <w:rPr>
                <w:rFonts w:cs="宋体"/>
                <w:color w:val="000000"/>
                <w:kern w:val="0"/>
                <w:sz w:val="24"/>
                <w:szCs w:val="24"/>
              </w:rPr>
              <w:t>否则，不得分。</w:t>
            </w:r>
          </w:p>
        </w:tc>
        <w:tc>
          <w:tcPr>
            <w:tcW w:w="708" w:type="dxa"/>
            <w:tcBorders>
              <w:top w:val="single" w:color="000000"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center"/>
              <w:rPr>
                <w:rFonts w:hint="eastAsia" w:cs="宋体"/>
                <w:color w:val="000000"/>
                <w:kern w:val="0"/>
                <w:sz w:val="24"/>
                <w:szCs w:val="24"/>
              </w:rPr>
            </w:pPr>
            <w:r>
              <w:rPr>
                <w:rFonts w:cs="宋体"/>
                <w:color w:val="000000"/>
                <w:kern w:val="0"/>
                <w:sz w:val="24"/>
                <w:szCs w:val="24"/>
              </w:rPr>
              <w:t>1</w:t>
            </w:r>
          </w:p>
        </w:tc>
        <w:tc>
          <w:tcPr>
            <w:tcW w:w="1298" w:type="dxa"/>
            <w:tcBorders>
              <w:top w:val="single" w:color="000000"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cs="宋体"/>
                <w:color w:val="000000"/>
                <w:kern w:val="0"/>
                <w:sz w:val="24"/>
                <w:szCs w:val="24"/>
              </w:rPr>
            </w:pPr>
            <w:r>
              <w:rPr>
                <w:rFonts w:hint="eastAsia" w:cs="宋体"/>
                <w:color w:val="000000"/>
                <w:kern w:val="0"/>
                <w:sz w:val="24"/>
                <w:szCs w:val="24"/>
              </w:rPr>
              <w:t>地市报送</w:t>
            </w:r>
          </w:p>
        </w:tc>
      </w:tr>
      <w:tr>
        <w:tblPrEx>
          <w:tblCellMar>
            <w:top w:w="0" w:type="dxa"/>
            <w:left w:w="108" w:type="dxa"/>
            <w:bottom w:w="0" w:type="dxa"/>
            <w:right w:w="108" w:type="dxa"/>
          </w:tblCellMar>
        </w:tblPrEx>
        <w:trPr>
          <w:trHeight w:val="454"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center"/>
              <w:rPr>
                <w:rFonts w:cs="Times New Roman"/>
                <w:color w:val="000000"/>
                <w:kern w:val="0"/>
                <w:sz w:val="24"/>
                <w:szCs w:val="24"/>
              </w:rPr>
            </w:pPr>
            <w:r>
              <w:rPr>
                <w:rFonts w:hint="eastAsia" w:cs="Times New Roman"/>
                <w:color w:val="000000"/>
                <w:sz w:val="24"/>
                <w:szCs w:val="24"/>
              </w:rPr>
              <w:t>35</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cs="宋体"/>
                <w:color w:val="000000"/>
                <w:kern w:val="0"/>
                <w:sz w:val="24"/>
                <w:szCs w:val="24"/>
              </w:rPr>
            </w:pPr>
          </w:p>
        </w:tc>
        <w:tc>
          <w:tcPr>
            <w:tcW w:w="225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cs="宋体"/>
                <w:color w:val="000000"/>
                <w:kern w:val="0"/>
                <w:sz w:val="24"/>
                <w:szCs w:val="24"/>
              </w:rPr>
            </w:pPr>
          </w:p>
        </w:tc>
        <w:tc>
          <w:tcPr>
            <w:tcW w:w="765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rPr>
                <w:rFonts w:hint="eastAsia" w:cs="宋体"/>
                <w:color w:val="000000"/>
                <w:kern w:val="0"/>
                <w:sz w:val="24"/>
                <w:szCs w:val="24"/>
              </w:rPr>
            </w:pPr>
            <w:r>
              <w:rPr>
                <w:rFonts w:hint="eastAsia" w:cs="宋体"/>
                <w:color w:val="000000"/>
                <w:kern w:val="0"/>
                <w:sz w:val="24"/>
                <w:szCs w:val="24"/>
              </w:rPr>
              <w:t>依据超限超载运输违法行为信息实施分级分类监管的，得</w:t>
            </w:r>
            <w:r>
              <w:rPr>
                <w:rFonts w:cs="宋体"/>
                <w:color w:val="000000"/>
                <w:kern w:val="0"/>
                <w:sz w:val="24"/>
                <w:szCs w:val="24"/>
              </w:rPr>
              <w:t>2分</w:t>
            </w:r>
            <w:r>
              <w:rPr>
                <w:rFonts w:hint="eastAsia" w:cs="宋体"/>
                <w:color w:val="000000"/>
                <w:kern w:val="0"/>
                <w:sz w:val="24"/>
                <w:szCs w:val="24"/>
              </w:rPr>
              <w:t>；</w:t>
            </w:r>
            <w:r>
              <w:rPr>
                <w:rFonts w:cs="宋体"/>
                <w:color w:val="000000"/>
                <w:kern w:val="0"/>
                <w:sz w:val="24"/>
                <w:szCs w:val="24"/>
              </w:rPr>
              <w:t>否则，不得分。</w:t>
            </w:r>
          </w:p>
        </w:tc>
        <w:tc>
          <w:tcPr>
            <w:tcW w:w="708"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center"/>
              <w:rPr>
                <w:rFonts w:hint="eastAsia" w:cs="宋体"/>
                <w:color w:val="000000"/>
                <w:kern w:val="0"/>
                <w:sz w:val="24"/>
                <w:szCs w:val="24"/>
              </w:rPr>
            </w:pPr>
            <w:r>
              <w:rPr>
                <w:rFonts w:cs="宋体"/>
                <w:color w:val="000000"/>
                <w:kern w:val="0"/>
                <w:sz w:val="24"/>
                <w:szCs w:val="24"/>
              </w:rPr>
              <w:t>2</w:t>
            </w:r>
          </w:p>
        </w:tc>
        <w:tc>
          <w:tcPr>
            <w:tcW w:w="129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cs="宋体"/>
                <w:color w:val="000000"/>
                <w:kern w:val="0"/>
                <w:sz w:val="24"/>
                <w:szCs w:val="24"/>
              </w:rPr>
            </w:pPr>
            <w:r>
              <w:rPr>
                <w:rFonts w:hint="eastAsia" w:cs="宋体"/>
                <w:color w:val="000000"/>
                <w:kern w:val="0"/>
                <w:sz w:val="24"/>
                <w:szCs w:val="24"/>
              </w:rPr>
              <w:t>平台监测</w:t>
            </w:r>
          </w:p>
        </w:tc>
      </w:tr>
      <w:tr>
        <w:tblPrEx>
          <w:tblCellMar>
            <w:top w:w="0" w:type="dxa"/>
            <w:left w:w="108" w:type="dxa"/>
            <w:bottom w:w="0" w:type="dxa"/>
            <w:right w:w="108" w:type="dxa"/>
          </w:tblCellMar>
        </w:tblPrEx>
        <w:trPr>
          <w:trHeight w:val="454"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center"/>
              <w:rPr>
                <w:rFonts w:cs="Times New Roman"/>
                <w:color w:val="000000"/>
                <w:kern w:val="0"/>
                <w:sz w:val="24"/>
                <w:szCs w:val="24"/>
              </w:rPr>
            </w:pPr>
            <w:r>
              <w:rPr>
                <w:rFonts w:hint="eastAsia" w:cs="Times New Roman"/>
                <w:color w:val="000000"/>
                <w:sz w:val="24"/>
                <w:szCs w:val="24"/>
              </w:rPr>
              <w:t>36</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cs="宋体"/>
                <w:color w:val="000000"/>
                <w:kern w:val="0"/>
                <w:sz w:val="24"/>
                <w:szCs w:val="24"/>
              </w:rPr>
            </w:pPr>
          </w:p>
        </w:tc>
        <w:tc>
          <w:tcPr>
            <w:tcW w:w="225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cs="宋体"/>
                <w:color w:val="000000"/>
                <w:kern w:val="0"/>
                <w:sz w:val="24"/>
                <w:szCs w:val="24"/>
              </w:rPr>
            </w:pPr>
          </w:p>
        </w:tc>
        <w:tc>
          <w:tcPr>
            <w:tcW w:w="765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rPr>
                <w:rFonts w:hint="eastAsia" w:cs="宋体"/>
                <w:color w:val="000000"/>
                <w:kern w:val="0"/>
                <w:sz w:val="24"/>
                <w:szCs w:val="24"/>
              </w:rPr>
            </w:pPr>
            <w:r>
              <w:rPr>
                <w:rFonts w:hint="eastAsia" w:cs="宋体"/>
                <w:color w:val="000000"/>
                <w:kern w:val="0"/>
                <w:sz w:val="24"/>
                <w:szCs w:val="24"/>
              </w:rPr>
              <w:t>对超限</w:t>
            </w:r>
            <w:r>
              <w:rPr>
                <w:rFonts w:cs="宋体"/>
                <w:color w:val="000000"/>
                <w:kern w:val="0"/>
                <w:sz w:val="24"/>
                <w:szCs w:val="24"/>
              </w:rPr>
              <w:t>50%以上违法货车</w:t>
            </w:r>
            <w:r>
              <w:rPr>
                <w:rFonts w:hint="eastAsia" w:cs="宋体"/>
                <w:color w:val="000000"/>
                <w:kern w:val="0"/>
                <w:sz w:val="24"/>
                <w:szCs w:val="24"/>
              </w:rPr>
              <w:t>依法实施处罚并</w:t>
            </w:r>
            <w:r>
              <w:rPr>
                <w:rFonts w:cs="宋体"/>
                <w:color w:val="000000"/>
                <w:kern w:val="0"/>
                <w:sz w:val="24"/>
                <w:szCs w:val="24"/>
              </w:rPr>
              <w:t>开展责任倒查</w:t>
            </w:r>
            <w:r>
              <w:rPr>
                <w:rFonts w:hint="eastAsia" w:cs="宋体"/>
                <w:color w:val="000000"/>
                <w:kern w:val="0"/>
                <w:sz w:val="24"/>
                <w:szCs w:val="24"/>
              </w:rPr>
              <w:t>的，得3分；</w:t>
            </w:r>
            <w:r>
              <w:rPr>
                <w:rFonts w:cs="宋体"/>
                <w:color w:val="000000"/>
                <w:kern w:val="0"/>
                <w:sz w:val="24"/>
                <w:szCs w:val="24"/>
              </w:rPr>
              <w:t>每发现1起未依法实施处罚的，扣0.5分</w:t>
            </w:r>
            <w:r>
              <w:rPr>
                <w:rFonts w:hint="eastAsia" w:cs="宋体"/>
                <w:color w:val="000000"/>
                <w:kern w:val="0"/>
                <w:sz w:val="24"/>
                <w:szCs w:val="24"/>
              </w:rPr>
              <w:t>；</w:t>
            </w:r>
            <w:r>
              <w:rPr>
                <w:rFonts w:cs="宋体"/>
                <w:color w:val="000000"/>
                <w:kern w:val="0"/>
                <w:sz w:val="24"/>
                <w:szCs w:val="24"/>
              </w:rPr>
              <w:t>每发现1起未开展责任倒查的，扣0.5分</w:t>
            </w:r>
            <w:r>
              <w:rPr>
                <w:rFonts w:hint="eastAsia" w:cs="宋体"/>
                <w:color w:val="000000"/>
                <w:kern w:val="0"/>
                <w:sz w:val="24"/>
                <w:szCs w:val="24"/>
              </w:rPr>
              <w:t>，</w:t>
            </w:r>
            <w:r>
              <w:rPr>
                <w:rFonts w:cs="宋体"/>
                <w:color w:val="000000"/>
                <w:kern w:val="0"/>
                <w:sz w:val="24"/>
                <w:szCs w:val="24"/>
              </w:rPr>
              <w:t>扣完为止。</w:t>
            </w:r>
          </w:p>
        </w:tc>
        <w:tc>
          <w:tcPr>
            <w:tcW w:w="708"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center"/>
              <w:rPr>
                <w:rFonts w:hint="eastAsia" w:cs="宋体"/>
                <w:color w:val="000000"/>
                <w:kern w:val="0"/>
                <w:sz w:val="24"/>
                <w:szCs w:val="24"/>
              </w:rPr>
            </w:pPr>
            <w:r>
              <w:rPr>
                <w:rFonts w:cs="宋体"/>
                <w:color w:val="000000"/>
                <w:kern w:val="0"/>
                <w:sz w:val="24"/>
                <w:szCs w:val="24"/>
              </w:rPr>
              <w:t>3</w:t>
            </w:r>
          </w:p>
        </w:tc>
        <w:tc>
          <w:tcPr>
            <w:tcW w:w="129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cs="宋体"/>
                <w:color w:val="000000"/>
                <w:kern w:val="0"/>
                <w:sz w:val="24"/>
                <w:szCs w:val="24"/>
              </w:rPr>
            </w:pPr>
            <w:r>
              <w:rPr>
                <w:rFonts w:hint="eastAsia" w:cs="宋体"/>
                <w:color w:val="000000"/>
                <w:kern w:val="0"/>
                <w:sz w:val="24"/>
                <w:szCs w:val="24"/>
              </w:rPr>
              <w:t>平台监测</w:t>
            </w:r>
          </w:p>
        </w:tc>
      </w:tr>
      <w:tr>
        <w:tblPrEx>
          <w:tblCellMar>
            <w:top w:w="0" w:type="dxa"/>
            <w:left w:w="108" w:type="dxa"/>
            <w:bottom w:w="0" w:type="dxa"/>
            <w:right w:w="108" w:type="dxa"/>
          </w:tblCellMar>
        </w:tblPrEx>
        <w:trPr>
          <w:trHeight w:val="454"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center"/>
              <w:rPr>
                <w:rFonts w:cs="Times New Roman"/>
                <w:color w:val="000000"/>
                <w:kern w:val="0"/>
                <w:sz w:val="24"/>
                <w:szCs w:val="24"/>
              </w:rPr>
            </w:pPr>
            <w:r>
              <w:rPr>
                <w:rFonts w:hint="eastAsia" w:cs="Times New Roman"/>
                <w:color w:val="000000"/>
                <w:sz w:val="24"/>
                <w:szCs w:val="24"/>
              </w:rPr>
              <w:t>37</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cs="宋体"/>
                <w:color w:val="000000"/>
                <w:kern w:val="0"/>
                <w:sz w:val="24"/>
                <w:szCs w:val="24"/>
              </w:rPr>
            </w:pPr>
          </w:p>
        </w:tc>
        <w:tc>
          <w:tcPr>
            <w:tcW w:w="225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cs="宋体"/>
                <w:color w:val="000000"/>
                <w:kern w:val="0"/>
                <w:sz w:val="24"/>
                <w:szCs w:val="24"/>
              </w:rPr>
            </w:pPr>
          </w:p>
        </w:tc>
        <w:tc>
          <w:tcPr>
            <w:tcW w:w="765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rPr>
                <w:rFonts w:hint="eastAsia" w:cs="宋体"/>
                <w:color w:val="000000"/>
                <w:kern w:val="0"/>
                <w:sz w:val="24"/>
                <w:szCs w:val="24"/>
              </w:rPr>
            </w:pPr>
            <w:r>
              <w:rPr>
                <w:rFonts w:hint="eastAsia" w:cs="宋体"/>
                <w:color w:val="000000"/>
                <w:kern w:val="0"/>
                <w:sz w:val="24"/>
                <w:szCs w:val="24"/>
              </w:rPr>
              <w:t>按照认定标准定期将严重违法失信超限超载当事人信息上报省厅的，得1分；按要求落实相关失信惩戒措施并报送惩戒成效清单的，得1</w:t>
            </w:r>
            <w:r>
              <w:rPr>
                <w:rFonts w:cs="宋体"/>
                <w:color w:val="000000"/>
                <w:kern w:val="0"/>
                <w:sz w:val="24"/>
                <w:szCs w:val="24"/>
              </w:rPr>
              <w:t>分</w:t>
            </w:r>
            <w:r>
              <w:rPr>
                <w:rFonts w:hint="eastAsia" w:cs="宋体"/>
                <w:color w:val="000000"/>
                <w:kern w:val="0"/>
                <w:sz w:val="24"/>
                <w:szCs w:val="24"/>
              </w:rPr>
              <w:t>；最高得2分。</w:t>
            </w:r>
          </w:p>
        </w:tc>
        <w:tc>
          <w:tcPr>
            <w:tcW w:w="708"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center"/>
              <w:rPr>
                <w:rFonts w:cs="宋体"/>
                <w:color w:val="000000"/>
                <w:kern w:val="0"/>
                <w:sz w:val="24"/>
                <w:szCs w:val="24"/>
              </w:rPr>
            </w:pPr>
            <w:r>
              <w:rPr>
                <w:rFonts w:hint="eastAsia" w:cs="宋体"/>
                <w:color w:val="000000"/>
                <w:kern w:val="0"/>
                <w:sz w:val="24"/>
                <w:szCs w:val="24"/>
              </w:rPr>
              <w:t>2</w:t>
            </w:r>
          </w:p>
        </w:tc>
        <w:tc>
          <w:tcPr>
            <w:tcW w:w="129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cs="宋体"/>
                <w:color w:val="000000"/>
                <w:kern w:val="0"/>
                <w:sz w:val="24"/>
                <w:szCs w:val="24"/>
              </w:rPr>
            </w:pPr>
            <w:r>
              <w:rPr>
                <w:rFonts w:hint="eastAsia" w:cs="宋体"/>
                <w:color w:val="000000"/>
                <w:kern w:val="0"/>
                <w:sz w:val="24"/>
                <w:szCs w:val="24"/>
              </w:rPr>
              <w:t>平台监测</w:t>
            </w:r>
          </w:p>
        </w:tc>
      </w:tr>
      <w:tr>
        <w:tblPrEx>
          <w:tblCellMar>
            <w:top w:w="0" w:type="dxa"/>
            <w:left w:w="108" w:type="dxa"/>
            <w:bottom w:w="0" w:type="dxa"/>
            <w:right w:w="108" w:type="dxa"/>
          </w:tblCellMar>
        </w:tblPrEx>
        <w:trPr>
          <w:trHeight w:val="1035"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center"/>
              <w:rPr>
                <w:rFonts w:hint="eastAsia" w:cs="宋体"/>
                <w:kern w:val="0"/>
                <w:sz w:val="24"/>
                <w:szCs w:val="24"/>
              </w:rPr>
            </w:pPr>
            <w:r>
              <w:rPr>
                <w:rFonts w:hint="eastAsia" w:cs="宋体"/>
                <w:kern w:val="0"/>
                <w:sz w:val="24"/>
                <w:szCs w:val="24"/>
              </w:rPr>
              <w:t>38</w:t>
            </w:r>
          </w:p>
        </w:tc>
        <w:tc>
          <w:tcPr>
            <w:tcW w:w="0" w:type="auto"/>
            <w:vMerge w:val="restart"/>
            <w:tcBorders>
              <w:top w:val="single" w:color="auto" w:sz="4" w:space="0"/>
              <w:left w:val="single" w:color="auto" w:sz="4" w:space="0"/>
              <w:right w:val="single" w:color="auto" w:sz="4" w:space="0"/>
            </w:tcBorders>
            <w:noWrap w:val="0"/>
            <w:vAlign w:val="center"/>
          </w:tcPr>
          <w:p>
            <w:pPr>
              <w:spacing w:line="240" w:lineRule="auto"/>
              <w:ind w:firstLine="0" w:firstLineChars="0"/>
              <w:jc w:val="center"/>
              <w:rPr>
                <w:rFonts w:hint="eastAsia" w:cs="宋体"/>
                <w:color w:val="000000"/>
                <w:kern w:val="0"/>
                <w:sz w:val="24"/>
                <w:szCs w:val="24"/>
              </w:rPr>
            </w:pPr>
            <w:r>
              <w:rPr>
                <w:rFonts w:hint="eastAsia" w:cs="宋体"/>
                <w:color w:val="000000"/>
                <w:kern w:val="0"/>
                <w:sz w:val="24"/>
                <w:szCs w:val="24"/>
              </w:rPr>
              <w:t>加分项</w:t>
            </w:r>
          </w:p>
        </w:tc>
        <w:tc>
          <w:tcPr>
            <w:tcW w:w="10618"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cs="宋体"/>
                <w:color w:val="000000"/>
                <w:kern w:val="0"/>
                <w:sz w:val="24"/>
                <w:szCs w:val="24"/>
              </w:rPr>
            </w:pPr>
            <w:r>
              <w:rPr>
                <w:rFonts w:hint="eastAsia" w:cs="宋体"/>
                <w:color w:val="000000"/>
                <w:kern w:val="0"/>
                <w:sz w:val="24"/>
                <w:szCs w:val="24"/>
              </w:rPr>
              <w:t>建设期内，信用工作被省委省政府或交通运输部通报表扬，或信用经验被国家发展改革委、交通运输部宣传推广的，加10分；被省发展改革委、司法厅等部门宣传推广的，加5分；同一经验就高加分，不重复计分。</w:t>
            </w:r>
          </w:p>
        </w:tc>
        <w:tc>
          <w:tcPr>
            <w:tcW w:w="129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cs="宋体"/>
                <w:color w:val="000000"/>
                <w:kern w:val="0"/>
                <w:sz w:val="24"/>
                <w:szCs w:val="24"/>
              </w:rPr>
            </w:pPr>
            <w:r>
              <w:rPr>
                <w:rFonts w:hint="eastAsia" w:cs="宋体"/>
                <w:color w:val="000000"/>
                <w:kern w:val="0"/>
                <w:sz w:val="24"/>
                <w:szCs w:val="24"/>
              </w:rPr>
              <w:t>地市报送</w:t>
            </w:r>
          </w:p>
        </w:tc>
      </w:tr>
      <w:tr>
        <w:tblPrEx>
          <w:tblCellMar>
            <w:top w:w="0" w:type="dxa"/>
            <w:left w:w="108" w:type="dxa"/>
            <w:bottom w:w="0" w:type="dxa"/>
            <w:right w:w="108" w:type="dxa"/>
          </w:tblCellMar>
        </w:tblPrEx>
        <w:trPr>
          <w:trHeight w:val="722"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center"/>
              <w:rPr>
                <w:rFonts w:hint="eastAsia" w:cs="宋体"/>
                <w:kern w:val="0"/>
                <w:sz w:val="24"/>
                <w:szCs w:val="24"/>
              </w:rPr>
            </w:pPr>
            <w:r>
              <w:rPr>
                <w:rFonts w:cs="宋体"/>
                <w:kern w:val="0"/>
                <w:sz w:val="24"/>
                <w:szCs w:val="24"/>
              </w:rPr>
              <w:t>3</w:t>
            </w:r>
            <w:r>
              <w:rPr>
                <w:rFonts w:hint="eastAsia" w:cs="宋体"/>
                <w:kern w:val="0"/>
                <w:sz w:val="24"/>
                <w:szCs w:val="24"/>
              </w:rPr>
              <w:t>9</w:t>
            </w:r>
          </w:p>
        </w:tc>
        <w:tc>
          <w:tcPr>
            <w:tcW w:w="0" w:type="auto"/>
            <w:vMerge w:val="continue"/>
            <w:tcBorders>
              <w:left w:val="single" w:color="auto" w:sz="4" w:space="0"/>
              <w:right w:val="single" w:color="auto" w:sz="4" w:space="0"/>
            </w:tcBorders>
            <w:noWrap w:val="0"/>
            <w:vAlign w:val="center"/>
          </w:tcPr>
          <w:p>
            <w:pPr>
              <w:spacing w:line="240" w:lineRule="auto"/>
              <w:ind w:firstLine="0" w:firstLineChars="0"/>
              <w:rPr>
                <w:rFonts w:hint="eastAsia" w:cs="宋体"/>
                <w:color w:val="000000"/>
                <w:kern w:val="0"/>
                <w:sz w:val="24"/>
                <w:szCs w:val="24"/>
              </w:rPr>
            </w:pPr>
          </w:p>
        </w:tc>
        <w:tc>
          <w:tcPr>
            <w:tcW w:w="10618"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cs="宋体"/>
                <w:color w:val="000000"/>
                <w:kern w:val="0"/>
                <w:sz w:val="24"/>
                <w:szCs w:val="24"/>
              </w:rPr>
            </w:pPr>
            <w:r>
              <w:rPr>
                <w:rFonts w:hint="eastAsia" w:cs="宋体"/>
                <w:color w:val="000000"/>
                <w:kern w:val="0"/>
                <w:sz w:val="24"/>
                <w:szCs w:val="24"/>
              </w:rPr>
              <w:t>建设期内，按月按主题向省厅报送信用案例的，每1个月加0.5分；报送案例被省厅采用向部推荐或通过简报等方式宣传推广的，每采用1次加3分；最高18分。</w:t>
            </w:r>
          </w:p>
        </w:tc>
        <w:tc>
          <w:tcPr>
            <w:tcW w:w="129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cs="宋体"/>
                <w:color w:val="000000"/>
                <w:kern w:val="0"/>
                <w:sz w:val="24"/>
                <w:szCs w:val="24"/>
              </w:rPr>
            </w:pPr>
            <w:r>
              <w:rPr>
                <w:rFonts w:hint="eastAsia" w:cs="宋体"/>
                <w:color w:val="000000"/>
                <w:kern w:val="0"/>
                <w:sz w:val="24"/>
                <w:szCs w:val="24"/>
              </w:rPr>
              <w:t>日常监督</w:t>
            </w:r>
          </w:p>
        </w:tc>
      </w:tr>
      <w:tr>
        <w:tblPrEx>
          <w:tblCellMar>
            <w:top w:w="0" w:type="dxa"/>
            <w:left w:w="108" w:type="dxa"/>
            <w:bottom w:w="0" w:type="dxa"/>
            <w:right w:w="108" w:type="dxa"/>
          </w:tblCellMar>
        </w:tblPrEx>
        <w:trPr>
          <w:trHeight w:val="782"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center"/>
              <w:rPr>
                <w:rFonts w:hint="eastAsia" w:cs="宋体"/>
                <w:kern w:val="0"/>
                <w:sz w:val="24"/>
                <w:szCs w:val="24"/>
              </w:rPr>
            </w:pPr>
            <w:r>
              <w:rPr>
                <w:rFonts w:hint="eastAsia" w:cs="宋体"/>
                <w:kern w:val="0"/>
                <w:sz w:val="24"/>
                <w:szCs w:val="24"/>
              </w:rPr>
              <w:t>40</w:t>
            </w:r>
          </w:p>
        </w:tc>
        <w:tc>
          <w:tcPr>
            <w:tcW w:w="0" w:type="auto"/>
            <w:vMerge w:val="continue"/>
            <w:tcBorders>
              <w:left w:val="single" w:color="auto" w:sz="4" w:space="0"/>
              <w:right w:val="single" w:color="auto" w:sz="4" w:space="0"/>
            </w:tcBorders>
            <w:noWrap w:val="0"/>
            <w:vAlign w:val="center"/>
          </w:tcPr>
          <w:p>
            <w:pPr>
              <w:spacing w:line="240" w:lineRule="auto"/>
              <w:ind w:firstLine="0" w:firstLineChars="0"/>
              <w:rPr>
                <w:rFonts w:hint="eastAsia" w:cs="宋体"/>
                <w:color w:val="000000"/>
                <w:kern w:val="0"/>
                <w:sz w:val="24"/>
                <w:szCs w:val="24"/>
              </w:rPr>
            </w:pPr>
          </w:p>
        </w:tc>
        <w:tc>
          <w:tcPr>
            <w:tcW w:w="10618"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cs="宋体"/>
                <w:color w:val="000000"/>
                <w:kern w:val="0"/>
                <w:sz w:val="24"/>
                <w:szCs w:val="24"/>
              </w:rPr>
            </w:pPr>
            <w:r>
              <w:rPr>
                <w:rFonts w:hint="eastAsia" w:cs="宋体"/>
                <w:color w:val="000000"/>
                <w:kern w:val="0"/>
                <w:sz w:val="24"/>
                <w:szCs w:val="24"/>
              </w:rPr>
              <w:t>通过车载终端、顶灯或服务监督卡等形式展示巡游出租车驾驶员服务质量信誉考核等级的，加2分；在移动客户端应用程序标注网约车驾驶员服务质量信誉考核等级的，加2分。</w:t>
            </w:r>
          </w:p>
        </w:tc>
        <w:tc>
          <w:tcPr>
            <w:tcW w:w="129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cs="宋体"/>
                <w:color w:val="000000"/>
                <w:kern w:val="0"/>
                <w:sz w:val="24"/>
                <w:szCs w:val="24"/>
              </w:rPr>
            </w:pPr>
            <w:r>
              <w:rPr>
                <w:rFonts w:hint="eastAsia" w:cs="宋体"/>
                <w:color w:val="000000"/>
                <w:kern w:val="0"/>
                <w:sz w:val="24"/>
                <w:szCs w:val="24"/>
              </w:rPr>
              <w:t>地市报送</w:t>
            </w:r>
          </w:p>
        </w:tc>
      </w:tr>
      <w:tr>
        <w:tblPrEx>
          <w:tblCellMar>
            <w:top w:w="0" w:type="dxa"/>
            <w:left w:w="108" w:type="dxa"/>
            <w:bottom w:w="0" w:type="dxa"/>
            <w:right w:w="108" w:type="dxa"/>
          </w:tblCellMar>
        </w:tblPrEx>
        <w:trPr>
          <w:trHeight w:val="732"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center"/>
              <w:rPr>
                <w:rFonts w:hint="eastAsia" w:cs="Times New Roman"/>
                <w:color w:val="000000"/>
                <w:sz w:val="24"/>
                <w:szCs w:val="24"/>
              </w:rPr>
            </w:pPr>
            <w:r>
              <w:rPr>
                <w:rFonts w:hint="eastAsia" w:cs="Times New Roman"/>
                <w:color w:val="000000"/>
                <w:sz w:val="24"/>
                <w:szCs w:val="24"/>
              </w:rPr>
              <w:t>41</w:t>
            </w:r>
          </w:p>
        </w:tc>
        <w:tc>
          <w:tcPr>
            <w:tcW w:w="0" w:type="auto"/>
            <w:vMerge w:val="continue"/>
            <w:tcBorders>
              <w:left w:val="single" w:color="auto" w:sz="4" w:space="0"/>
              <w:right w:val="single" w:color="auto" w:sz="4" w:space="0"/>
            </w:tcBorders>
            <w:noWrap w:val="0"/>
            <w:vAlign w:val="center"/>
          </w:tcPr>
          <w:p>
            <w:pPr>
              <w:spacing w:line="240" w:lineRule="auto"/>
              <w:ind w:firstLine="0" w:firstLineChars="0"/>
              <w:rPr>
                <w:rFonts w:hint="eastAsia" w:cs="宋体"/>
                <w:color w:val="000000"/>
                <w:kern w:val="0"/>
                <w:sz w:val="24"/>
                <w:szCs w:val="24"/>
              </w:rPr>
            </w:pPr>
          </w:p>
        </w:tc>
        <w:tc>
          <w:tcPr>
            <w:tcW w:w="10618"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cs="宋体"/>
                <w:color w:val="000000"/>
                <w:kern w:val="0"/>
                <w:sz w:val="24"/>
                <w:szCs w:val="24"/>
              </w:rPr>
            </w:pPr>
            <w:r>
              <w:rPr>
                <w:rFonts w:hint="eastAsia" w:cs="宋体"/>
                <w:color w:val="000000"/>
                <w:kern w:val="0"/>
                <w:sz w:val="24"/>
                <w:szCs w:val="24"/>
              </w:rPr>
              <w:t>在评价指标内容外，创新探索“信用+”监管应用服务行业发展的，每创新应用于一个领域加2分；最高8分。</w:t>
            </w:r>
          </w:p>
        </w:tc>
        <w:tc>
          <w:tcPr>
            <w:tcW w:w="129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cs="宋体"/>
                <w:color w:val="000000"/>
                <w:kern w:val="0"/>
                <w:sz w:val="24"/>
                <w:szCs w:val="24"/>
              </w:rPr>
            </w:pPr>
            <w:r>
              <w:rPr>
                <w:rFonts w:hint="eastAsia" w:cs="宋体"/>
                <w:color w:val="000000"/>
                <w:kern w:val="0"/>
                <w:sz w:val="24"/>
                <w:szCs w:val="24"/>
              </w:rPr>
              <w:t>地市报送、日常监督</w:t>
            </w:r>
          </w:p>
        </w:tc>
      </w:tr>
      <w:tr>
        <w:tblPrEx>
          <w:tblCellMar>
            <w:top w:w="0" w:type="dxa"/>
            <w:left w:w="108" w:type="dxa"/>
            <w:bottom w:w="0" w:type="dxa"/>
            <w:right w:w="108" w:type="dxa"/>
          </w:tblCellMar>
        </w:tblPrEx>
        <w:trPr>
          <w:trHeight w:val="574"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center"/>
              <w:rPr>
                <w:rFonts w:hint="eastAsia" w:cs="Times New Roman"/>
                <w:color w:val="000000"/>
                <w:sz w:val="24"/>
                <w:szCs w:val="24"/>
              </w:rPr>
            </w:pPr>
            <w:r>
              <w:rPr>
                <w:rFonts w:hint="eastAsia" w:cs="Times New Roman"/>
                <w:color w:val="000000"/>
                <w:sz w:val="24"/>
                <w:szCs w:val="24"/>
              </w:rPr>
              <w:t>42</w:t>
            </w:r>
          </w:p>
        </w:tc>
        <w:tc>
          <w:tcPr>
            <w:tcW w:w="0" w:type="auto"/>
            <w:vMerge w:val="continue"/>
            <w:tcBorders>
              <w:left w:val="single" w:color="auto" w:sz="4" w:space="0"/>
              <w:bottom w:val="single" w:color="auto" w:sz="4" w:space="0"/>
              <w:right w:val="single" w:color="auto" w:sz="4" w:space="0"/>
            </w:tcBorders>
            <w:noWrap w:val="0"/>
            <w:vAlign w:val="center"/>
          </w:tcPr>
          <w:p>
            <w:pPr>
              <w:spacing w:line="240" w:lineRule="auto"/>
              <w:ind w:firstLine="0" w:firstLineChars="0"/>
              <w:rPr>
                <w:rFonts w:hint="eastAsia" w:cs="宋体"/>
                <w:color w:val="000000"/>
                <w:kern w:val="0"/>
                <w:sz w:val="24"/>
                <w:szCs w:val="24"/>
              </w:rPr>
            </w:pPr>
          </w:p>
        </w:tc>
        <w:tc>
          <w:tcPr>
            <w:tcW w:w="10618"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cs="宋体"/>
                <w:color w:val="000000"/>
                <w:kern w:val="0"/>
                <w:sz w:val="24"/>
                <w:szCs w:val="24"/>
              </w:rPr>
            </w:pPr>
            <w:r>
              <w:rPr>
                <w:rFonts w:hint="eastAsia" w:cs="宋体"/>
                <w:color w:val="000000"/>
                <w:kern w:val="0"/>
                <w:sz w:val="24"/>
                <w:szCs w:val="24"/>
              </w:rPr>
              <w:t>建设期内，辖区内未出现红码及橙码企业的，加5分。</w:t>
            </w:r>
          </w:p>
        </w:tc>
        <w:tc>
          <w:tcPr>
            <w:tcW w:w="129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cs="宋体"/>
                <w:color w:val="000000"/>
                <w:kern w:val="0"/>
                <w:sz w:val="24"/>
                <w:szCs w:val="24"/>
              </w:rPr>
            </w:pPr>
            <w:r>
              <w:rPr>
                <w:rFonts w:hint="eastAsia" w:cs="宋体"/>
                <w:color w:val="000000"/>
                <w:kern w:val="0"/>
                <w:sz w:val="24"/>
                <w:szCs w:val="24"/>
              </w:rPr>
              <w:t>平台监测</w:t>
            </w:r>
          </w:p>
        </w:tc>
      </w:tr>
      <w:tr>
        <w:tblPrEx>
          <w:tblCellMar>
            <w:top w:w="0" w:type="dxa"/>
            <w:left w:w="108" w:type="dxa"/>
            <w:bottom w:w="0" w:type="dxa"/>
            <w:right w:w="108" w:type="dxa"/>
          </w:tblCellMar>
        </w:tblPrEx>
        <w:trPr>
          <w:trHeight w:val="454"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center"/>
              <w:rPr>
                <w:rFonts w:hint="eastAsia" w:cs="Times New Roman"/>
                <w:color w:val="000000"/>
                <w:kern w:val="0"/>
                <w:sz w:val="24"/>
                <w:szCs w:val="24"/>
              </w:rPr>
            </w:pPr>
            <w:r>
              <w:rPr>
                <w:rFonts w:hint="eastAsia" w:cs="Times New Roman"/>
                <w:color w:val="000000"/>
                <w:sz w:val="24"/>
                <w:szCs w:val="24"/>
              </w:rPr>
              <w:t>43</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pPr>
            <w:r>
              <w:rPr>
                <w:rFonts w:hint="eastAsia" w:cs="宋体"/>
                <w:kern w:val="0"/>
                <w:sz w:val="24"/>
                <w:szCs w:val="24"/>
              </w:rPr>
              <w:t>扣分项</w:t>
            </w:r>
          </w:p>
          <w:p>
            <w:pPr>
              <w:widowControl/>
              <w:spacing w:line="240" w:lineRule="auto"/>
              <w:ind w:firstLine="0" w:firstLineChars="0"/>
              <w:jc w:val="center"/>
              <w:rPr>
                <w:rFonts w:hint="eastAsia"/>
              </w:rPr>
            </w:pPr>
          </w:p>
        </w:tc>
        <w:tc>
          <w:tcPr>
            <w:tcW w:w="1061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rPr>
                <w:rFonts w:hint="eastAsia" w:cs="宋体"/>
                <w:kern w:val="0"/>
                <w:sz w:val="24"/>
                <w:szCs w:val="24"/>
              </w:rPr>
            </w:pPr>
            <w:r>
              <w:rPr>
                <w:rFonts w:hint="eastAsia" w:cs="宋体"/>
                <w:kern w:val="0"/>
                <w:sz w:val="24"/>
                <w:szCs w:val="24"/>
              </w:rPr>
              <w:t>建设期内，辖区内发生较大及以上安全生产责任事故的，扣40分。</w:t>
            </w:r>
          </w:p>
        </w:tc>
        <w:tc>
          <w:tcPr>
            <w:tcW w:w="129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cs="宋体"/>
                <w:color w:val="000000"/>
                <w:kern w:val="0"/>
                <w:sz w:val="24"/>
                <w:szCs w:val="24"/>
              </w:rPr>
            </w:pPr>
            <w:r>
              <w:rPr>
                <w:rFonts w:hint="eastAsia" w:cs="宋体"/>
                <w:color w:val="000000"/>
                <w:kern w:val="0"/>
                <w:sz w:val="24"/>
                <w:szCs w:val="24"/>
              </w:rPr>
              <w:t>平台监测、日常监督</w:t>
            </w:r>
          </w:p>
        </w:tc>
      </w:tr>
      <w:tr>
        <w:tblPrEx>
          <w:tblCellMar>
            <w:top w:w="0" w:type="dxa"/>
            <w:left w:w="108" w:type="dxa"/>
            <w:bottom w:w="0" w:type="dxa"/>
            <w:right w:w="108" w:type="dxa"/>
          </w:tblCellMar>
        </w:tblPrEx>
        <w:trPr>
          <w:trHeight w:val="454"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center"/>
              <w:rPr>
                <w:rFonts w:cs="Times New Roman"/>
                <w:color w:val="000000"/>
                <w:sz w:val="24"/>
                <w:szCs w:val="24"/>
              </w:rPr>
            </w:pPr>
            <w:r>
              <w:rPr>
                <w:rFonts w:hint="eastAsia" w:cs="Times New Roman"/>
                <w:color w:val="000000"/>
                <w:sz w:val="24"/>
                <w:szCs w:val="24"/>
              </w:rPr>
              <w:t>44</w:t>
            </w:r>
          </w:p>
        </w:tc>
        <w:tc>
          <w:tcPr>
            <w:tcW w:w="0" w:type="auto"/>
            <w:vMerge w:val="continue"/>
            <w:tcBorders>
              <w:left w:val="single" w:color="auto" w:sz="4" w:space="0"/>
              <w:right w:val="single" w:color="auto" w:sz="4" w:space="0"/>
            </w:tcBorders>
            <w:noWrap w:val="0"/>
            <w:vAlign w:val="center"/>
          </w:tcPr>
          <w:p>
            <w:pPr>
              <w:widowControl/>
              <w:spacing w:line="240" w:lineRule="auto"/>
              <w:ind w:firstLine="0" w:firstLineChars="0"/>
              <w:jc w:val="center"/>
              <w:rPr>
                <w:rFonts w:hint="eastAsia"/>
              </w:rPr>
            </w:pPr>
          </w:p>
        </w:tc>
        <w:tc>
          <w:tcPr>
            <w:tcW w:w="1061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rPr>
                <w:rFonts w:cs="宋体"/>
                <w:kern w:val="0"/>
                <w:sz w:val="24"/>
                <w:szCs w:val="24"/>
              </w:rPr>
            </w:pPr>
            <w:r>
              <w:rPr>
                <w:rFonts w:hint="eastAsia" w:cs="宋体"/>
                <w:kern w:val="0"/>
                <w:sz w:val="24"/>
                <w:szCs w:val="24"/>
              </w:rPr>
              <w:t>建设期内，辖区内工程建设领域出现廉政问题造成较大影响的，扣40分。</w:t>
            </w:r>
          </w:p>
        </w:tc>
        <w:tc>
          <w:tcPr>
            <w:tcW w:w="129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cs="宋体"/>
                <w:color w:val="000000"/>
                <w:kern w:val="0"/>
                <w:sz w:val="24"/>
                <w:szCs w:val="24"/>
              </w:rPr>
            </w:pPr>
            <w:r>
              <w:rPr>
                <w:rFonts w:hint="eastAsia" w:cs="宋体"/>
                <w:color w:val="000000"/>
                <w:kern w:val="0"/>
                <w:sz w:val="24"/>
                <w:szCs w:val="24"/>
              </w:rPr>
              <w:t>日常监督</w:t>
            </w:r>
          </w:p>
        </w:tc>
      </w:tr>
      <w:tr>
        <w:tblPrEx>
          <w:tblCellMar>
            <w:top w:w="0" w:type="dxa"/>
            <w:left w:w="108" w:type="dxa"/>
            <w:bottom w:w="0" w:type="dxa"/>
            <w:right w:w="108" w:type="dxa"/>
          </w:tblCellMar>
        </w:tblPrEx>
        <w:trPr>
          <w:trHeight w:val="454"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center"/>
              <w:rPr>
                <w:rFonts w:hint="eastAsia" w:cs="Times New Roman"/>
                <w:color w:val="000000"/>
                <w:kern w:val="0"/>
                <w:sz w:val="24"/>
                <w:szCs w:val="24"/>
              </w:rPr>
            </w:pPr>
            <w:r>
              <w:rPr>
                <w:rFonts w:hint="eastAsia" w:cs="Times New Roman"/>
                <w:color w:val="000000"/>
                <w:sz w:val="24"/>
                <w:szCs w:val="24"/>
              </w:rPr>
              <w:t>45</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cs="宋体"/>
                <w:color w:val="000000"/>
                <w:kern w:val="0"/>
                <w:sz w:val="24"/>
                <w:szCs w:val="24"/>
              </w:rPr>
            </w:pPr>
          </w:p>
        </w:tc>
        <w:tc>
          <w:tcPr>
            <w:tcW w:w="1061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rPr>
                <w:rFonts w:hint="eastAsia" w:cs="宋体"/>
                <w:color w:val="000000"/>
                <w:kern w:val="0"/>
                <w:sz w:val="24"/>
                <w:szCs w:val="24"/>
              </w:rPr>
            </w:pPr>
            <w:r>
              <w:rPr>
                <w:rFonts w:hint="eastAsia" w:cs="宋体"/>
                <w:color w:val="000000"/>
                <w:kern w:val="0"/>
                <w:sz w:val="24"/>
                <w:szCs w:val="24"/>
              </w:rPr>
              <w:t>建设期内，辖区内因发生责任性重大群体事件引发严重负面舆情的，扣</w:t>
            </w:r>
            <w:r>
              <w:rPr>
                <w:rFonts w:cs="宋体"/>
                <w:color w:val="000000"/>
                <w:kern w:val="0"/>
                <w:sz w:val="24"/>
                <w:szCs w:val="24"/>
              </w:rPr>
              <w:t>2</w:t>
            </w:r>
            <w:r>
              <w:rPr>
                <w:rFonts w:hint="eastAsia" w:cs="宋体"/>
                <w:color w:val="000000"/>
                <w:kern w:val="0"/>
                <w:sz w:val="24"/>
                <w:szCs w:val="24"/>
              </w:rPr>
              <w:t>0分。</w:t>
            </w:r>
          </w:p>
        </w:tc>
        <w:tc>
          <w:tcPr>
            <w:tcW w:w="129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cs="宋体"/>
                <w:color w:val="000000"/>
                <w:kern w:val="0"/>
                <w:sz w:val="24"/>
                <w:szCs w:val="24"/>
              </w:rPr>
            </w:pPr>
            <w:r>
              <w:rPr>
                <w:rFonts w:hint="eastAsia" w:cs="宋体"/>
                <w:color w:val="000000"/>
                <w:kern w:val="0"/>
                <w:sz w:val="24"/>
                <w:szCs w:val="24"/>
              </w:rPr>
              <w:t>日常监督</w:t>
            </w:r>
          </w:p>
        </w:tc>
      </w:tr>
      <w:tr>
        <w:tblPrEx>
          <w:tblCellMar>
            <w:top w:w="0" w:type="dxa"/>
            <w:left w:w="108" w:type="dxa"/>
            <w:bottom w:w="0" w:type="dxa"/>
            <w:right w:w="108" w:type="dxa"/>
          </w:tblCellMar>
        </w:tblPrEx>
        <w:trPr>
          <w:trHeight w:val="454"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center"/>
              <w:rPr>
                <w:rFonts w:hint="eastAsia" w:cs="Times New Roman"/>
                <w:color w:val="000000"/>
                <w:sz w:val="24"/>
                <w:szCs w:val="24"/>
              </w:rPr>
            </w:pPr>
            <w:r>
              <w:rPr>
                <w:rFonts w:hint="eastAsia" w:cs="Times New Roman"/>
                <w:color w:val="000000"/>
                <w:sz w:val="24"/>
                <w:szCs w:val="24"/>
              </w:rPr>
              <w:t>46</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cs="宋体"/>
                <w:color w:val="000000"/>
                <w:kern w:val="0"/>
                <w:sz w:val="24"/>
                <w:szCs w:val="24"/>
              </w:rPr>
            </w:pPr>
          </w:p>
        </w:tc>
        <w:tc>
          <w:tcPr>
            <w:tcW w:w="1061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rPr>
                <w:rFonts w:hint="eastAsia" w:cs="宋体"/>
                <w:color w:val="000000"/>
                <w:kern w:val="0"/>
                <w:sz w:val="24"/>
                <w:szCs w:val="24"/>
              </w:rPr>
            </w:pPr>
            <w:r>
              <w:rPr>
                <w:rFonts w:hint="eastAsia" w:cs="宋体"/>
                <w:color w:val="000000"/>
                <w:kern w:val="0"/>
                <w:sz w:val="24"/>
                <w:szCs w:val="24"/>
              </w:rPr>
              <w:t>建设期内，因执法人员违法违纪造成严重社会影响的，扣</w:t>
            </w:r>
            <w:r>
              <w:rPr>
                <w:rFonts w:cs="宋体"/>
                <w:color w:val="000000"/>
                <w:kern w:val="0"/>
                <w:sz w:val="24"/>
                <w:szCs w:val="24"/>
              </w:rPr>
              <w:t>2</w:t>
            </w:r>
            <w:r>
              <w:rPr>
                <w:rFonts w:hint="eastAsia" w:cs="宋体"/>
                <w:color w:val="000000"/>
                <w:kern w:val="0"/>
                <w:sz w:val="24"/>
                <w:szCs w:val="24"/>
              </w:rPr>
              <w:t>0分。</w:t>
            </w:r>
          </w:p>
        </w:tc>
        <w:tc>
          <w:tcPr>
            <w:tcW w:w="129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cs="宋体"/>
                <w:color w:val="000000"/>
                <w:kern w:val="0"/>
                <w:sz w:val="24"/>
                <w:szCs w:val="24"/>
              </w:rPr>
            </w:pPr>
            <w:r>
              <w:rPr>
                <w:rFonts w:hint="eastAsia" w:cs="宋体"/>
                <w:color w:val="000000"/>
                <w:kern w:val="0"/>
                <w:sz w:val="24"/>
                <w:szCs w:val="24"/>
              </w:rPr>
              <w:t>日常监督</w:t>
            </w:r>
          </w:p>
        </w:tc>
      </w:tr>
    </w:tbl>
    <w:p>
      <w:pPr>
        <w:ind w:firstLine="0" w:firstLineChars="0"/>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textAlignment w:val="top"/>
        <w:rPr>
          <w:rFonts w:hint="eastAsia" w:ascii="仿宋" w:hAnsi="仿宋" w:eastAsia="仿宋" w:cs="仿宋"/>
          <w:i w:val="0"/>
          <w:iCs w:val="0"/>
          <w:caps w:val="0"/>
          <w:color w:val="000000"/>
          <w:spacing w:val="0"/>
          <w:sz w:val="24"/>
          <w:szCs w:val="24"/>
          <w:u w:val="none"/>
          <w:bdr w:val="none" w:color="auto" w:sz="0" w:space="0"/>
          <w:shd w:val="clear" w:fill="FFFFFF"/>
        </w:rPr>
      </w:pPr>
      <w:bookmarkStart w:id="0" w:name="_GoBack"/>
      <w:bookmarkEnd w:id="0"/>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textAlignment w:val="top"/>
        <w:rPr>
          <w:rFonts w:hint="eastAsia" w:ascii="仿宋" w:hAnsi="仿宋" w:eastAsia="仿宋" w:cs="仿宋"/>
          <w:i w:val="0"/>
          <w:iCs w:val="0"/>
          <w:caps w:val="0"/>
          <w:color w:val="000000"/>
          <w:spacing w:val="0"/>
          <w:sz w:val="24"/>
          <w:szCs w:val="24"/>
          <w:u w:val="none"/>
          <w:bdr w:val="none" w:color="auto" w:sz="0" w:space="0"/>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textAlignment w:val="top"/>
        <w:rPr>
          <w:rFonts w:hint="default" w:ascii="仿宋" w:hAnsi="仿宋" w:eastAsia="仿宋" w:cs="仿宋"/>
          <w:i w:val="0"/>
          <w:iCs w:val="0"/>
          <w:caps w:val="0"/>
          <w:color w:val="000000"/>
          <w:spacing w:val="0"/>
          <w:sz w:val="24"/>
          <w:szCs w:val="24"/>
          <w:u w:val="none"/>
          <w:bdr w:val="none" w:color="auto" w:sz="0" w:space="0"/>
          <w:shd w:val="clear" w:fill="FFFFFF"/>
        </w:rPr>
      </w:pPr>
    </w:p>
    <w:p>
      <w:pPr>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21FC082-4BFF-4715-8E3D-D5ADB4C890D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embedRegular r:id="rId2" w:fontKey="{DB975D94-DF32-4145-AB91-37FE18A42B87}"/>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3" w:fontKey="{C88D161E-690E-42B9-BBA4-AE0D5FD7B443}"/>
  </w:font>
  <w:font w:name="华文仿宋">
    <w:altName w:val="仿宋"/>
    <w:panose1 w:val="02010600040101010101"/>
    <w:charset w:val="86"/>
    <w:family w:val="auto"/>
    <w:pitch w:val="default"/>
    <w:sig w:usb0="00000000" w:usb1="00000000" w:usb2="00000010" w:usb3="00000000" w:csb0="0004009F" w:csb1="00000000"/>
    <w:embedRegular r:id="rId4" w:fontKey="{08D32A38-AF1B-4562-81D2-674FE54B3566}"/>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zODM3ZmMzOTIxYTY5ZGE0MmM0ZWIzZTNiM2RiNDkifQ=="/>
  </w:docVars>
  <w:rsids>
    <w:rsidRoot w:val="00000000"/>
    <w:rsid w:val="153B51D1"/>
    <w:rsid w:val="685B4731"/>
    <w:rsid w:val="6B8C2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宋体" w:cs="Arial"/>
      <w:snapToGrid w:val="0"/>
      <w:color w:val="000000"/>
      <w:kern w:val="0"/>
      <w:sz w:val="22"/>
      <w:szCs w:val="21"/>
    </w:rPr>
  </w:style>
  <w:style w:type="paragraph" w:styleId="3">
    <w:name w:val="heading 1"/>
    <w:basedOn w:val="1"/>
    <w:next w:val="1"/>
    <w:qFormat/>
    <w:uiPriority w:val="9"/>
    <w:pPr>
      <w:keepNext/>
      <w:keepLines/>
      <w:outlineLvl w:val="0"/>
    </w:pPr>
    <w:rPr>
      <w:rFonts w:eastAsia="黑体"/>
      <w:bCs/>
      <w:kern w:val="44"/>
      <w:szCs w:val="44"/>
    </w:rPr>
  </w:style>
  <w:style w:type="paragraph" w:styleId="4">
    <w:name w:val="heading 2"/>
    <w:basedOn w:val="1"/>
    <w:next w:val="1"/>
    <w:link w:val="12"/>
    <w:semiHidden/>
    <w:unhideWhenUsed/>
    <w:qFormat/>
    <w:uiPriority w:val="0"/>
    <w:pPr>
      <w:spacing w:before="0" w:beforeAutospacing="0" w:after="0" w:afterAutospacing="0"/>
      <w:ind w:firstLine="536" w:firstLineChars="200"/>
      <w:jc w:val="left"/>
      <w:outlineLvl w:val="1"/>
    </w:pPr>
    <w:rPr>
      <w:rFonts w:hint="eastAsia" w:ascii="宋体" w:hAnsi="宋体" w:cs="宋体"/>
      <w:b/>
      <w:bCs/>
      <w:kern w:val="0"/>
      <w:sz w:val="28"/>
      <w:szCs w:val="36"/>
      <w:lang w:val="en-US" w:eastAsia="zh-CN" w:bidi="ar"/>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5">
    <w:name w:val="footer"/>
    <w:basedOn w:val="1"/>
    <w:unhideWhenUsed/>
    <w:qFormat/>
    <w:uiPriority w:val="99"/>
    <w:pPr>
      <w:tabs>
        <w:tab w:val="center" w:pos="4153"/>
        <w:tab w:val="right" w:pos="8306"/>
      </w:tabs>
      <w:spacing w:line="240" w:lineRule="atLeast"/>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uiPriority w:val="0"/>
    <w:rPr>
      <w:color w:val="0000FF"/>
      <w:u w:val="single"/>
    </w:rPr>
  </w:style>
  <w:style w:type="character" w:customStyle="1" w:styleId="12">
    <w:name w:val="标题 2 Char"/>
    <w:link w:val="4"/>
    <w:qFormat/>
    <w:uiPriority w:val="0"/>
    <w:rPr>
      <w:rFonts w:hint="eastAsia" w:ascii="宋体" w:hAnsi="宋体" w:eastAsia="宋体" w:cs="宋体"/>
      <w:b/>
      <w:bCs/>
      <w:kern w:val="0"/>
      <w:sz w:val="28"/>
      <w:szCs w:val="36"/>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2023-09-01T02:47:00Z</dcterms:created>
  <dc:creator>Administrator</dc:creator>
  <cp:lastModifiedBy>陆桂玲</cp:lastModifiedBy>
  <dcterms:modified xsi:type="dcterms:W3CDTF">2023-10-17T06:33:06Z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5FBA95F49E53415F82079D885FC22978_12</vt:lpwstr>
  </property>
</Properties>
</file>