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444444"/>
          <w:spacing w:val="0"/>
          <w:sz w:val="21"/>
          <w:szCs w:val="21"/>
        </w:rPr>
      </w:pPr>
      <w:bookmarkStart w:id="0" w:name="_Hlk26473981"/>
      <w:bookmarkStart w:id="1" w:name="BookMark1"/>
      <w:bookmarkStart w:id="215" w:name="_GoBack"/>
      <w:r>
        <w:rPr>
          <w:rFonts w:hint="eastAsia" w:ascii="宋体" w:hAnsi="宋体" w:eastAsia="宋体" w:cs="宋体"/>
          <w:b/>
          <w:bCs/>
          <w:i w:val="0"/>
          <w:iCs w:val="0"/>
          <w:caps w:val="0"/>
          <w:color w:val="444444"/>
          <w:spacing w:val="-20"/>
          <w:sz w:val="44"/>
          <w:szCs w:val="44"/>
          <w:bdr w:val="none" w:color="auto" w:sz="0" w:space="0"/>
          <w:shd w:val="clear" w:fill="FFFFFF"/>
        </w:rPr>
        <w:t>关于公开征求《生产安全事故应急救援评估规范</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444444"/>
          <w:spacing w:val="0"/>
          <w:sz w:val="21"/>
          <w:szCs w:val="21"/>
        </w:rPr>
      </w:pPr>
      <w:r>
        <w:rPr>
          <w:rFonts w:hint="eastAsia" w:ascii="宋体" w:hAnsi="宋体" w:eastAsia="宋体" w:cs="宋体"/>
          <w:b/>
          <w:bCs/>
          <w:i w:val="0"/>
          <w:iCs w:val="0"/>
          <w:caps w:val="0"/>
          <w:color w:val="444444"/>
          <w:spacing w:val="-20"/>
          <w:sz w:val="44"/>
          <w:szCs w:val="44"/>
          <w:bdr w:val="none" w:color="auto" w:sz="0" w:space="0"/>
          <w:shd w:val="clear" w:fill="FFFFFF"/>
        </w:rPr>
        <w:t>（征求意见稿）》意见的函</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444444"/>
          <w:spacing w:val="0"/>
          <w:sz w:val="21"/>
          <w:szCs w:val="21"/>
        </w:rPr>
      </w:pPr>
      <w:r>
        <w:rPr>
          <w:rFonts w:hint="eastAsia" w:ascii="宋体" w:hAnsi="宋体" w:eastAsia="宋体" w:cs="宋体"/>
          <w:i w:val="0"/>
          <w:iCs w:val="0"/>
          <w:caps w:val="0"/>
          <w:color w:val="444444"/>
          <w:spacing w:val="0"/>
          <w:sz w:val="32"/>
          <w:szCs w:val="32"/>
          <w:bdr w:val="none" w:color="auto" w:sz="0" w:space="0"/>
          <w:shd w:val="clear" w:fill="FFFFFF"/>
        </w:rPr>
        <w:t>应急综信息函〔2023〕4号</w:t>
      </w:r>
    </w:p>
    <w:bookmarkEnd w:id="215"/>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50" w:beforeAutospacing="0" w:after="160" w:afterAutospacing="0" w:line="560" w:lineRule="atLeast"/>
        <w:ind w:left="0" w:right="0" w:firstLine="640"/>
        <w:jc w:val="left"/>
        <w:rPr>
          <w:rFonts w:hint="eastAsia" w:ascii="宋体" w:hAnsi="宋体" w:eastAsia="宋体" w:cs="宋体"/>
          <w:i w:val="0"/>
          <w:iCs w:val="0"/>
          <w:caps w:val="0"/>
          <w:color w:val="444444"/>
          <w:spacing w:val="0"/>
          <w:sz w:val="21"/>
          <w:szCs w:val="21"/>
        </w:rPr>
      </w:pPr>
      <w:r>
        <w:rPr>
          <w:rFonts w:hint="eastAsia" w:ascii="宋体" w:hAnsi="宋体" w:eastAsia="宋体" w:cs="宋体"/>
          <w:i w:val="0"/>
          <w:iCs w:val="0"/>
          <w:caps w:val="0"/>
          <w:color w:val="444444"/>
          <w:spacing w:val="0"/>
          <w:sz w:val="32"/>
          <w:szCs w:val="32"/>
          <w:bdr w:val="none" w:color="auto" w:sz="0" w:space="0"/>
          <w:shd w:val="clear" w:fill="FFFFFF"/>
        </w:rPr>
        <w:t>为规范开展生产安全事故应急救援评估工作，国家安全生产应急救援中心前期已经在部政府网站向社会公开征集关于推荐性行业标准《生产安全事故应急救援评估指南（征求意见稿）》的意见，并进一步修改完善。根据专家审查和相关部门意见，我们将该项推荐性行业标准调整为强制性行业标准，并组织起草了强制性行业标准《生产安全事故应急救援评估规范（征求意见稿）》和编制说明（见附件1、2），现向社会公开征求意见。此次公开征求意见时间为2023年8月18日至2023年10月17日，反馈意见请</w:t>
      </w:r>
      <w:r>
        <w:rPr>
          <w:rFonts w:hint="eastAsia" w:ascii="宋体" w:hAnsi="宋体" w:eastAsia="宋体" w:cs="宋体"/>
          <w:i w:val="0"/>
          <w:iCs w:val="0"/>
          <w:caps w:val="0"/>
          <w:color w:val="444444"/>
          <w:spacing w:val="-11"/>
          <w:sz w:val="32"/>
          <w:szCs w:val="32"/>
          <w:bdr w:val="none" w:color="auto" w:sz="0" w:space="0"/>
          <w:shd w:val="clear" w:fill="FFFFFF"/>
        </w:rPr>
        <w:t>填写征求意见表（见附件3）并发送至电子邮箱</w:t>
      </w:r>
      <w:r>
        <w:rPr>
          <w:rFonts w:hint="eastAsia" w:ascii="宋体" w:hAnsi="宋体" w:eastAsia="宋体" w:cs="宋体"/>
          <w:i w:val="0"/>
          <w:iCs w:val="0"/>
          <w:caps w:val="0"/>
          <w:color w:val="444444"/>
          <w:spacing w:val="-34"/>
          <w:sz w:val="32"/>
          <w:szCs w:val="32"/>
          <w:bdr w:val="none" w:color="auto" w:sz="0" w:space="0"/>
          <w:shd w:val="clear" w:fill="FFFFFF"/>
        </w:rPr>
        <w:t>（</w:t>
      </w:r>
      <w:r>
        <w:rPr>
          <w:rFonts w:hint="eastAsia" w:ascii="宋体" w:hAnsi="宋体" w:eastAsia="宋体" w:cs="宋体"/>
          <w:i w:val="0"/>
          <w:iCs w:val="0"/>
          <w:caps w:val="0"/>
          <w:color w:val="444444"/>
          <w:spacing w:val="-6"/>
          <w:sz w:val="32"/>
          <w:szCs w:val="32"/>
          <w:bdr w:val="none" w:color="auto" w:sz="0" w:space="0"/>
          <w:shd w:val="clear" w:fill="FFFFFF"/>
        </w:rPr>
        <w:t>tc288msc@</w:t>
      </w:r>
      <w:r>
        <w:rPr>
          <w:rFonts w:hint="eastAsia" w:ascii="宋体" w:hAnsi="宋体" w:eastAsia="宋体" w:cs="宋体"/>
          <w:i w:val="0"/>
          <w:iCs w:val="0"/>
          <w:caps w:val="0"/>
          <w:color w:val="444444"/>
          <w:spacing w:val="-34"/>
          <w:sz w:val="32"/>
          <w:szCs w:val="32"/>
          <w:bdr w:val="none" w:color="auto" w:sz="0" w:space="0"/>
          <w:shd w:val="clear" w:fill="FFFFFF"/>
        </w:rPr>
        <w:t>163.com）。</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560" w:lineRule="atLeast"/>
        <w:ind w:left="0" w:right="0" w:firstLine="640"/>
        <w:rPr>
          <w:rFonts w:hint="eastAsia" w:ascii="宋体" w:hAnsi="宋体" w:eastAsia="宋体" w:cs="宋体"/>
          <w:i w:val="0"/>
          <w:iCs w:val="0"/>
          <w:caps w:val="0"/>
          <w:color w:val="444444"/>
          <w:spacing w:val="0"/>
          <w:sz w:val="21"/>
          <w:szCs w:val="21"/>
        </w:rPr>
      </w:pPr>
      <w:r>
        <w:rPr>
          <w:rFonts w:hint="eastAsia" w:ascii="宋体" w:hAnsi="宋体" w:eastAsia="宋体" w:cs="宋体"/>
          <w:i w:val="0"/>
          <w:iCs w:val="0"/>
          <w:caps w:val="0"/>
          <w:color w:val="444444"/>
          <w:spacing w:val="0"/>
          <w:sz w:val="32"/>
          <w:szCs w:val="32"/>
          <w:bdr w:val="none" w:color="auto" w:sz="0" w:space="0"/>
          <w:shd w:val="clear" w:fill="FFFFFF"/>
        </w:rPr>
        <w:t>联系人及电话：王艳，010-64897804。</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560" w:lineRule="atLeast"/>
        <w:ind w:left="0" w:right="0" w:firstLine="640"/>
        <w:rPr>
          <w:rFonts w:hint="eastAsia" w:ascii="宋体" w:hAnsi="宋体" w:eastAsia="宋体" w:cs="宋体"/>
          <w:i w:val="0"/>
          <w:iCs w:val="0"/>
          <w:caps w:val="0"/>
          <w:color w:val="444444"/>
          <w:spacing w:val="0"/>
          <w:sz w:val="21"/>
          <w:szCs w:val="21"/>
        </w:rPr>
      </w:pPr>
      <w:r>
        <w:rPr>
          <w:rFonts w:hint="eastAsia" w:ascii="宋体" w:hAnsi="宋体" w:eastAsia="宋体" w:cs="宋体"/>
          <w:i w:val="0"/>
          <w:iCs w:val="0"/>
          <w:caps w:val="0"/>
          <w:color w:val="444444"/>
          <w:spacing w:val="0"/>
          <w:sz w:val="32"/>
          <w:szCs w:val="32"/>
          <w:bdr w:val="none" w:color="auto" w:sz="0" w:space="0"/>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598" w:right="0" w:hanging="960"/>
        <w:rPr>
          <w:rFonts w:hint="eastAsia" w:ascii="宋体" w:hAnsi="宋体" w:eastAsia="宋体" w:cs="宋体"/>
          <w:i w:val="0"/>
          <w:iCs w:val="0"/>
          <w:caps w:val="0"/>
          <w:color w:val="444444"/>
          <w:spacing w:val="0"/>
          <w:sz w:val="21"/>
          <w:szCs w:val="21"/>
        </w:rPr>
      </w:pPr>
      <w:r>
        <w:rPr>
          <w:rFonts w:hint="eastAsia" w:ascii="宋体" w:hAnsi="宋体" w:eastAsia="宋体" w:cs="宋体"/>
          <w:i w:val="0"/>
          <w:iCs w:val="0"/>
          <w:caps w:val="0"/>
          <w:color w:val="444444"/>
          <w:spacing w:val="-20"/>
          <w:sz w:val="32"/>
          <w:szCs w:val="32"/>
          <w:bdr w:val="none" w:color="auto" w:sz="0" w:space="0"/>
          <w:shd w:val="clear" w:fill="FFFFFF"/>
        </w:rPr>
        <w:t>附件：</w:t>
      </w:r>
      <w:r>
        <w:rPr>
          <w:rFonts w:hint="eastAsia" w:ascii="宋体" w:hAnsi="宋体" w:eastAsia="宋体" w:cs="宋体"/>
          <w:i w:val="0"/>
          <w:iCs w:val="0"/>
          <w:caps w:val="0"/>
          <w:color w:val="444444"/>
          <w:spacing w:val="0"/>
          <w:sz w:val="21"/>
          <w:szCs w:val="21"/>
          <w:u w:val="none"/>
          <w:bdr w:val="none" w:color="auto" w:sz="0" w:space="0"/>
          <w:shd w:val="clear" w:fill="FFFFFF"/>
        </w:rPr>
        <w:fldChar w:fldCharType="begin"/>
      </w:r>
      <w:r>
        <w:rPr>
          <w:rFonts w:hint="eastAsia" w:ascii="宋体" w:hAnsi="宋体" w:eastAsia="宋体" w:cs="宋体"/>
          <w:i w:val="0"/>
          <w:iCs w:val="0"/>
          <w:caps w:val="0"/>
          <w:color w:val="444444"/>
          <w:spacing w:val="0"/>
          <w:sz w:val="21"/>
          <w:szCs w:val="21"/>
          <w:u w:val="none"/>
          <w:bdr w:val="none" w:color="auto" w:sz="0" w:space="0"/>
          <w:shd w:val="clear" w:fill="FFFFFF"/>
        </w:rPr>
        <w:instrText xml:space="preserve"> HYPERLINK "https://www.mem.gov.cn/gk/zfxxgkpt/fdzdgknr/202308/W020230817693362979248.docx" </w:instrText>
      </w:r>
      <w:r>
        <w:rPr>
          <w:rFonts w:hint="eastAsia" w:ascii="宋体" w:hAnsi="宋体" w:eastAsia="宋体" w:cs="宋体"/>
          <w:i w:val="0"/>
          <w:iCs w:val="0"/>
          <w:caps w:val="0"/>
          <w:color w:val="444444"/>
          <w:spacing w:val="0"/>
          <w:sz w:val="21"/>
          <w:szCs w:val="21"/>
          <w:u w:val="none"/>
          <w:bdr w:val="none" w:color="auto" w:sz="0" w:space="0"/>
          <w:shd w:val="clear" w:fill="FFFFFF"/>
        </w:rPr>
        <w:fldChar w:fldCharType="separate"/>
      </w:r>
      <w:r>
        <w:rPr>
          <w:rStyle w:val="18"/>
          <w:rFonts w:hint="eastAsia" w:ascii="宋体" w:hAnsi="宋体" w:eastAsia="宋体" w:cs="宋体"/>
          <w:i w:val="0"/>
          <w:iCs w:val="0"/>
          <w:caps w:val="0"/>
          <w:color w:val="444444"/>
          <w:spacing w:val="0"/>
          <w:sz w:val="32"/>
          <w:szCs w:val="32"/>
          <w:u w:val="none"/>
          <w:bdr w:val="none" w:color="auto" w:sz="0" w:space="0"/>
          <w:shd w:val="clear" w:fill="FFFFFF"/>
        </w:rPr>
        <w:t>1.生产安全事故应急救援评估规范（征求意见稿）</w:t>
      </w:r>
      <w:r>
        <w:rPr>
          <w:rFonts w:hint="eastAsia" w:ascii="宋体" w:hAnsi="宋体" w:eastAsia="宋体" w:cs="宋体"/>
          <w:i w:val="0"/>
          <w:iCs w:val="0"/>
          <w:caps w:val="0"/>
          <w:color w:val="444444"/>
          <w:spacing w:val="0"/>
          <w:sz w:val="21"/>
          <w:szCs w:val="21"/>
          <w:u w:val="none"/>
          <w:bdr w:val="none" w:color="auto" w:sz="0" w:space="0"/>
          <w:shd w:val="clear" w:fill="FFFFFF"/>
        </w:rPr>
        <w:fldChar w:fldCharType="end"/>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832" w:right="0" w:hanging="320"/>
        <w:rPr>
          <w:rFonts w:hint="eastAsia" w:ascii="宋体" w:hAnsi="宋体" w:eastAsia="宋体" w:cs="宋体"/>
          <w:i w:val="0"/>
          <w:iCs w:val="0"/>
          <w:caps w:val="0"/>
          <w:color w:val="444444"/>
          <w:spacing w:val="0"/>
          <w:sz w:val="21"/>
          <w:szCs w:val="21"/>
        </w:rPr>
      </w:pPr>
      <w:r>
        <w:rPr>
          <w:rFonts w:hint="eastAsia" w:ascii="宋体" w:hAnsi="宋体" w:eastAsia="宋体" w:cs="宋体"/>
          <w:i w:val="0"/>
          <w:iCs w:val="0"/>
          <w:caps w:val="0"/>
          <w:color w:val="444444"/>
          <w:spacing w:val="0"/>
          <w:sz w:val="32"/>
          <w:szCs w:val="32"/>
          <w:u w:val="none"/>
          <w:bdr w:val="none" w:color="auto" w:sz="0" w:space="0"/>
          <w:shd w:val="clear" w:fill="FFFFFF"/>
        </w:rPr>
        <w:fldChar w:fldCharType="begin"/>
      </w:r>
      <w:r>
        <w:rPr>
          <w:rFonts w:hint="eastAsia" w:ascii="宋体" w:hAnsi="宋体" w:eastAsia="宋体" w:cs="宋体"/>
          <w:i w:val="0"/>
          <w:iCs w:val="0"/>
          <w:caps w:val="0"/>
          <w:color w:val="444444"/>
          <w:spacing w:val="0"/>
          <w:sz w:val="32"/>
          <w:szCs w:val="32"/>
          <w:u w:val="none"/>
          <w:bdr w:val="none" w:color="auto" w:sz="0" w:space="0"/>
          <w:shd w:val="clear" w:fill="FFFFFF"/>
        </w:rPr>
        <w:instrText xml:space="preserve"> HYPERLINK "https://www.mem.gov.cn/gk/zfxxgkpt/fdzdgknr/202308/W020230817693362987627.docx" </w:instrText>
      </w:r>
      <w:r>
        <w:rPr>
          <w:rFonts w:hint="eastAsia" w:ascii="宋体" w:hAnsi="宋体" w:eastAsia="宋体" w:cs="宋体"/>
          <w:i w:val="0"/>
          <w:iCs w:val="0"/>
          <w:caps w:val="0"/>
          <w:color w:val="444444"/>
          <w:spacing w:val="0"/>
          <w:sz w:val="32"/>
          <w:szCs w:val="32"/>
          <w:u w:val="none"/>
          <w:bdr w:val="none" w:color="auto" w:sz="0" w:space="0"/>
          <w:shd w:val="clear" w:fill="FFFFFF"/>
        </w:rPr>
        <w:fldChar w:fldCharType="separate"/>
      </w:r>
      <w:r>
        <w:rPr>
          <w:rStyle w:val="18"/>
          <w:rFonts w:hint="eastAsia" w:ascii="宋体" w:hAnsi="宋体" w:eastAsia="宋体" w:cs="宋体"/>
          <w:i w:val="0"/>
          <w:iCs w:val="0"/>
          <w:caps w:val="0"/>
          <w:color w:val="444444"/>
          <w:spacing w:val="0"/>
          <w:sz w:val="32"/>
          <w:szCs w:val="32"/>
          <w:u w:val="none"/>
          <w:bdr w:val="none" w:color="auto" w:sz="0" w:space="0"/>
          <w:shd w:val="clear" w:fill="FFFFFF"/>
        </w:rPr>
        <w:t>2.生产安全事故应急救援评估规范（征求意见稿）编制说明</w:t>
      </w:r>
      <w:r>
        <w:rPr>
          <w:rFonts w:hint="eastAsia" w:ascii="宋体" w:hAnsi="宋体" w:eastAsia="宋体" w:cs="宋体"/>
          <w:i w:val="0"/>
          <w:iCs w:val="0"/>
          <w:caps w:val="0"/>
          <w:color w:val="444444"/>
          <w:spacing w:val="0"/>
          <w:sz w:val="32"/>
          <w:szCs w:val="32"/>
          <w:u w:val="none"/>
          <w:bdr w:val="none" w:color="auto" w:sz="0" w:space="0"/>
          <w:shd w:val="clear" w:fill="FFFFFF"/>
        </w:rPr>
        <w:fldChar w:fldCharType="end"/>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1512" w:right="0" w:firstLine="0"/>
        <w:rPr>
          <w:rFonts w:hint="eastAsia" w:ascii="宋体" w:hAnsi="宋体" w:eastAsia="宋体" w:cs="宋体"/>
          <w:i w:val="0"/>
          <w:iCs w:val="0"/>
          <w:caps w:val="0"/>
          <w:color w:val="444444"/>
          <w:spacing w:val="0"/>
          <w:sz w:val="21"/>
          <w:szCs w:val="21"/>
        </w:rPr>
      </w:pPr>
      <w:r>
        <w:rPr>
          <w:rFonts w:hint="eastAsia" w:ascii="宋体" w:hAnsi="宋体" w:eastAsia="宋体" w:cs="宋体"/>
          <w:i w:val="0"/>
          <w:iCs w:val="0"/>
          <w:caps w:val="0"/>
          <w:color w:val="444444"/>
          <w:spacing w:val="0"/>
          <w:sz w:val="32"/>
          <w:szCs w:val="32"/>
          <w:u w:val="none"/>
          <w:bdr w:val="none" w:color="auto" w:sz="0" w:space="0"/>
          <w:shd w:val="clear" w:fill="FFFFFF"/>
        </w:rPr>
        <w:fldChar w:fldCharType="begin"/>
      </w:r>
      <w:r>
        <w:rPr>
          <w:rFonts w:hint="eastAsia" w:ascii="宋体" w:hAnsi="宋体" w:eastAsia="宋体" w:cs="宋体"/>
          <w:i w:val="0"/>
          <w:iCs w:val="0"/>
          <w:caps w:val="0"/>
          <w:color w:val="444444"/>
          <w:spacing w:val="0"/>
          <w:sz w:val="32"/>
          <w:szCs w:val="32"/>
          <w:u w:val="none"/>
          <w:bdr w:val="none" w:color="auto" w:sz="0" w:space="0"/>
          <w:shd w:val="clear" w:fill="FFFFFF"/>
        </w:rPr>
        <w:instrText xml:space="preserve"> HYPERLINK "https://www.mem.gov.cn/gk/zfxxgkpt/fdzdgknr/202308/W020230817693362988812.docx" </w:instrText>
      </w:r>
      <w:r>
        <w:rPr>
          <w:rFonts w:hint="eastAsia" w:ascii="宋体" w:hAnsi="宋体" w:eastAsia="宋体" w:cs="宋体"/>
          <w:i w:val="0"/>
          <w:iCs w:val="0"/>
          <w:caps w:val="0"/>
          <w:color w:val="444444"/>
          <w:spacing w:val="0"/>
          <w:sz w:val="32"/>
          <w:szCs w:val="32"/>
          <w:u w:val="none"/>
          <w:bdr w:val="none" w:color="auto" w:sz="0" w:space="0"/>
          <w:shd w:val="clear" w:fill="FFFFFF"/>
        </w:rPr>
        <w:fldChar w:fldCharType="separate"/>
      </w:r>
      <w:r>
        <w:rPr>
          <w:rStyle w:val="18"/>
          <w:rFonts w:hint="eastAsia" w:ascii="宋体" w:hAnsi="宋体" w:eastAsia="宋体" w:cs="宋体"/>
          <w:i w:val="0"/>
          <w:iCs w:val="0"/>
          <w:caps w:val="0"/>
          <w:color w:val="444444"/>
          <w:spacing w:val="0"/>
          <w:sz w:val="32"/>
          <w:szCs w:val="32"/>
          <w:u w:val="none"/>
          <w:bdr w:val="none" w:color="auto" w:sz="0" w:space="0"/>
          <w:shd w:val="clear" w:fill="FFFFFF"/>
        </w:rPr>
        <w:t>3.应急管理标准项目征求意见表</w:t>
      </w:r>
      <w:r>
        <w:rPr>
          <w:rFonts w:hint="eastAsia" w:ascii="宋体" w:hAnsi="宋体" w:eastAsia="宋体" w:cs="宋体"/>
          <w:i w:val="0"/>
          <w:iCs w:val="0"/>
          <w:caps w:val="0"/>
          <w:color w:val="444444"/>
          <w:spacing w:val="0"/>
          <w:sz w:val="32"/>
          <w:szCs w:val="32"/>
          <w:u w:val="none"/>
          <w:bdr w:val="none" w:color="auto" w:sz="0" w:space="0"/>
          <w:shd w:val="clear" w:fill="FFFFFF"/>
        </w:rPr>
        <w:fldChar w:fldCharType="end"/>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60" w:afterAutospacing="0" w:line="560" w:lineRule="atLeast"/>
        <w:ind w:left="0" w:right="0" w:firstLine="0"/>
        <w:rPr>
          <w:rFonts w:hint="eastAsia" w:ascii="宋体" w:hAnsi="宋体" w:eastAsia="宋体" w:cs="宋体"/>
          <w:i w:val="0"/>
          <w:iCs w:val="0"/>
          <w:caps w:val="0"/>
          <w:color w:val="444444"/>
          <w:spacing w:val="0"/>
          <w:sz w:val="21"/>
          <w:szCs w:val="21"/>
        </w:rPr>
      </w:pPr>
      <w:r>
        <w:rPr>
          <w:rFonts w:hint="eastAsia" w:ascii="宋体" w:hAnsi="宋体" w:eastAsia="宋体" w:cs="宋体"/>
          <w:i w:val="0"/>
          <w:iCs w:val="0"/>
          <w:caps w:val="0"/>
          <w:color w:val="444444"/>
          <w:spacing w:val="0"/>
          <w:sz w:val="32"/>
          <w:szCs w:val="32"/>
          <w:bdr w:val="none" w:color="auto" w:sz="0" w:space="0"/>
          <w:shd w:val="clear" w:fill="FFFFFF"/>
        </w:rPr>
        <w:t> </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3360"/>
        <w:jc w:val="right"/>
        <w:rPr>
          <w:rFonts w:hint="eastAsia" w:ascii="宋体" w:hAnsi="宋体" w:eastAsia="宋体" w:cs="宋体"/>
          <w:i w:val="0"/>
          <w:iCs w:val="0"/>
          <w:caps w:val="0"/>
          <w:color w:val="444444"/>
          <w:spacing w:val="0"/>
          <w:sz w:val="21"/>
          <w:szCs w:val="21"/>
        </w:rPr>
      </w:pPr>
      <w:r>
        <w:rPr>
          <w:rFonts w:hint="eastAsia" w:ascii="宋体" w:hAnsi="宋体" w:eastAsia="宋体" w:cs="宋体"/>
          <w:i w:val="0"/>
          <w:iCs w:val="0"/>
          <w:caps w:val="0"/>
          <w:color w:val="444444"/>
          <w:spacing w:val="0"/>
          <w:sz w:val="32"/>
          <w:szCs w:val="32"/>
          <w:bdr w:val="none" w:color="auto" w:sz="0" w:space="0"/>
          <w:shd w:val="clear" w:fill="FFFFFF"/>
        </w:rPr>
        <w:t>国家安全生产应急救援中心综合部</w:t>
      </w:r>
    </w:p>
    <w:p>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right"/>
        <w:rPr>
          <w:rFonts w:hint="eastAsia" w:ascii="宋体" w:hAnsi="宋体" w:eastAsia="宋体" w:cs="宋体"/>
          <w:i w:val="0"/>
          <w:iCs w:val="0"/>
          <w:caps w:val="0"/>
          <w:color w:val="444444"/>
          <w:spacing w:val="0"/>
          <w:sz w:val="21"/>
          <w:szCs w:val="21"/>
        </w:rPr>
      </w:pPr>
      <w:r>
        <w:rPr>
          <w:rFonts w:hint="eastAsia" w:ascii="宋体" w:hAnsi="宋体" w:eastAsia="宋体" w:cs="宋体"/>
          <w:i w:val="0"/>
          <w:iCs w:val="0"/>
          <w:caps w:val="0"/>
          <w:color w:val="444444"/>
          <w:spacing w:val="0"/>
          <w:sz w:val="32"/>
          <w:szCs w:val="32"/>
          <w:bdr w:val="none" w:color="auto" w:sz="0" w:space="0"/>
          <w:shd w:val="clear" w:fill="FFFFFF"/>
        </w:rPr>
        <w:t>2023年8月14日</w:t>
      </w:r>
    </w:p>
    <w:p>
      <w:pPr>
        <w:rPr>
          <w:rFonts w:hint="eastAsia" w:ascii="黑体" w:hAnsi="黑体" w:eastAsia="黑体" w:cs="黑体"/>
          <w:vanish/>
          <w:sz w:val="32"/>
          <w:szCs w:val="32"/>
          <w:lang w:eastAsia="zh-CN"/>
        </w:rPr>
      </w:pPr>
      <w:r>
        <w:rPr>
          <w:rFonts w:hint="eastAsia" w:ascii="黑体" w:hAnsi="黑体" w:eastAsia="黑体" w:cs="黑体"/>
          <w:vanish/>
          <w:sz w:val="32"/>
          <w:szCs w:val="32"/>
          <w:lang w:eastAsia="zh-CN"/>
        </w:rPr>
        <w:br w:type="page"/>
      </w:r>
    </w:p>
    <w:p>
      <w:pPr>
        <w:pStyle w:val="2"/>
        <w:rPr>
          <w:rFonts w:hint="eastAsia"/>
          <w:lang w:eastAsia="zh-CN"/>
        </w:rPr>
      </w:pPr>
    </w:p>
    <w:bookmarkEnd w:id="0"/>
    <w:p>
      <w:pPr>
        <w:pStyle w:val="46"/>
        <w:tabs>
          <w:tab w:val="left" w:pos="9240"/>
        </w:tabs>
        <w:contextualSpacing/>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pPr>
        <w:pStyle w:val="46"/>
        <w:tabs>
          <w:tab w:val="left" w:pos="9240"/>
        </w:tabs>
        <w:contextualSpacing/>
        <w:rPr>
          <w:rFonts w:ascii="黑体" w:hAnsi="黑体" w:eastAsia="黑体"/>
          <w:b/>
          <w:sz w:val="21"/>
        </w:rPr>
      </w:pPr>
      <w:r>
        <w:rPr>
          <w:rFonts w:eastAsia="黑体"/>
          <w:b/>
          <w:sz w:val="21"/>
        </w:rPr>
        <mc:AlternateContent>
          <mc:Choice Requires="wps">
            <w:drawing>
              <wp:anchor distT="0" distB="0" distL="114300" distR="114300" simplePos="0" relativeHeight="251669504" behindDoc="0" locked="1" layoutInCell="1" allowOverlap="1">
                <wp:simplePos x="0" y="0"/>
                <wp:positionH relativeFrom="margin">
                  <wp:posOffset>2891790</wp:posOffset>
                </wp:positionH>
                <wp:positionV relativeFrom="margin">
                  <wp:posOffset>-33655</wp:posOffset>
                </wp:positionV>
                <wp:extent cx="3175000" cy="1012190"/>
                <wp:effectExtent l="0" t="0" r="6350" b="16510"/>
                <wp:wrapNone/>
                <wp:docPr id="10" name="Text Box 2"/>
                <wp:cNvGraphicFramePr/>
                <a:graphic xmlns:a="http://schemas.openxmlformats.org/drawingml/2006/main">
                  <a:graphicData uri="http://schemas.microsoft.com/office/word/2010/wordprocessingShape">
                    <wps:wsp>
                      <wps:cNvSpPr txBox="1">
                        <a:spLocks noChangeArrowheads="1"/>
                      </wps:cNvSpPr>
                      <wps:spPr bwMode="auto">
                        <a:xfrm>
                          <a:off x="0" y="0"/>
                          <a:ext cx="3175000" cy="1012190"/>
                        </a:xfrm>
                        <a:prstGeom prst="rect">
                          <a:avLst/>
                        </a:prstGeom>
                        <a:solidFill>
                          <a:srgbClr val="FFFFFF"/>
                        </a:solidFill>
                        <a:ln>
                          <a:noFill/>
                        </a:ln>
                        <a:effectLst/>
                      </wps:spPr>
                      <wps:txbx>
                        <w:txbxContent>
                          <w:p>
                            <w:pPr>
                              <w:pStyle w:val="30"/>
                              <w:rPr>
                                <w:rFonts w:eastAsia="黑体"/>
                                <w:szCs w:val="96"/>
                              </w:rPr>
                            </w:pPr>
                            <w:r>
                              <w:rPr>
                                <w:rFonts w:eastAsia="黑体"/>
                                <w:szCs w:val="96"/>
                              </w:rPr>
                              <w:t>AQ</w:t>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left:227.7pt;margin-top:-2.65pt;height:79.7pt;width:250pt;mso-position-horizontal-relative:margin;mso-position-vertical-relative:margin;z-index:251669504;mso-width-relative:page;mso-height-relative:page;" fillcolor="#FFFFFF" filled="t" stroked="f" coordsize="21600,21600" o:gfxdata="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sdK172AAAAAoBAAAPAAAA&#10;AAAAAAEAIAAAACIAAABkcnMvZG93bnJldi54bWxQSwECFAAUAAAACACHTuJAtLM/+xUCAAA9BAAA&#10;DgAAAAAAAAABACAAAAAnAQAAZHJzL2Uyb0RvYy54bWxQSwUGAAAAAAYABgBZAQAArgUAAAAA&#10;">
                <v:fill on="t" focussize="0,0"/>
                <v:stroke on="f"/>
                <v:imagedata o:title=""/>
                <o:lock v:ext="edit" aspectratio="f"/>
                <v:textbox inset="0mm,0mm,0mm,0mm">
                  <w:txbxContent>
                    <w:p>
                      <w:pPr>
                        <w:pStyle w:val="30"/>
                        <w:rPr>
                          <w:rFonts w:eastAsia="黑体"/>
                          <w:szCs w:val="96"/>
                        </w:rPr>
                      </w:pPr>
                      <w:r>
                        <w:rPr>
                          <w:rFonts w:eastAsia="黑体"/>
                          <w:szCs w:val="96"/>
                        </w:rPr>
                        <w:t>AQ</w:t>
                      </w:r>
                    </w:p>
                  </w:txbxContent>
                </v:textbox>
                <w10:anchorlock/>
              </v:shape>
            </w:pict>
          </mc:Fallback>
        </mc:AlternateContent>
      </w:r>
      <w:r>
        <w:rPr>
          <w:rFonts w:eastAsia="黑体"/>
          <w:b/>
          <w:sz w:val="21"/>
        </w:rPr>
        <mc:AlternateContent>
          <mc:Choice Requires="wps">
            <w:drawing>
              <wp:anchor distT="0" distB="0" distL="114300" distR="114300" simplePos="0" relativeHeight="251668480" behindDoc="0" locked="1" layoutInCell="1" allowOverlap="1">
                <wp:simplePos x="0" y="0"/>
                <wp:positionH relativeFrom="margin">
                  <wp:posOffset>133350</wp:posOffset>
                </wp:positionH>
                <wp:positionV relativeFrom="margin">
                  <wp:posOffset>9310370</wp:posOffset>
                </wp:positionV>
                <wp:extent cx="6120130" cy="396240"/>
                <wp:effectExtent l="0" t="0" r="13970" b="3810"/>
                <wp:wrapNone/>
                <wp:docPr id="9" name="Text Box 12"/>
                <wp:cNvGraphicFramePr/>
                <a:graphic xmlns:a="http://schemas.openxmlformats.org/drawingml/2006/main">
                  <a:graphicData uri="http://schemas.microsoft.com/office/word/2010/wordprocessingShape">
                    <wps:wsp>
                      <wps:cNvSpPr txBox="1">
                        <a:spLocks noChangeArrowheads="1"/>
                      </wps:cNvSpPr>
                      <wps:spPr bwMode="auto">
                        <a:xfrm>
                          <a:off x="0" y="0"/>
                          <a:ext cx="6120130" cy="396240"/>
                        </a:xfrm>
                        <a:prstGeom prst="rect">
                          <a:avLst/>
                        </a:prstGeom>
                        <a:solidFill>
                          <a:srgbClr val="FFFFFF"/>
                        </a:solidFill>
                        <a:ln>
                          <a:noFill/>
                        </a:ln>
                        <a:effectLst/>
                      </wps:spPr>
                      <wps:txbx>
                        <w:txbxContent>
                          <w:p>
                            <w:pPr>
                              <w:jc w:val="center"/>
                              <w:rPr>
                                <w:rFonts w:ascii="黑体" w:eastAsia="黑体"/>
                                <w:sz w:val="30"/>
                              </w:rPr>
                            </w:pPr>
                            <w:r>
                              <w:rPr>
                                <w:rStyle w:val="35"/>
                                <w:rFonts w:hint="eastAsia" w:ascii="黑体" w:hAnsi="黑体" w:eastAsia="黑体"/>
                                <w:b w:val="0"/>
                                <w:sz w:val="28"/>
                                <w:szCs w:val="28"/>
                              </w:rPr>
                              <w:t>中华人民共和国应急管理部</w:t>
                            </w:r>
                            <w:r>
                              <w:rPr>
                                <w:rFonts w:hint="eastAsia" w:ascii="黑体" w:hAnsi="黑体" w:eastAsia="黑体"/>
                                <w:b/>
                                <w:sz w:val="28"/>
                                <w:szCs w:val="28"/>
                              </w:rPr>
                              <w:t xml:space="preserve"> </w:t>
                            </w:r>
                            <w:r>
                              <w:rPr>
                                <w:rFonts w:hint="eastAsia" w:ascii="黑体" w:eastAsia="黑体"/>
                                <w:b/>
                                <w:sz w:val="28"/>
                              </w:rPr>
                              <w:t xml:space="preserve">  </w:t>
                            </w:r>
                            <w:r>
                              <w:rPr>
                                <w:rFonts w:hint="eastAsia" w:ascii="黑体" w:eastAsia="黑体"/>
                                <w:sz w:val="28"/>
                              </w:rPr>
                              <w:t>发 布</w:t>
                            </w:r>
                          </w:p>
                        </w:txbxContent>
                      </wps:txbx>
                      <wps:bodyPr rot="0" vert="horz" wrap="square" lIns="0" tIns="0" rIns="0" bIns="0" anchor="t" anchorCtr="0" upright="1">
                        <a:noAutofit/>
                      </wps:bodyPr>
                    </wps:wsp>
                  </a:graphicData>
                </a:graphic>
              </wp:anchor>
            </w:drawing>
          </mc:Choice>
          <mc:Fallback>
            <w:pict>
              <v:shape id="Text Box 12" o:spid="_x0000_s1026" o:spt="202" type="#_x0000_t202" style="position:absolute;left:0pt;margin-left:10.5pt;margin-top:733.1pt;height:31.2pt;width:481.9pt;mso-position-horizontal-relative:margin;mso-position-vertical-relative:margin;z-index:251668480;mso-width-relative:page;mso-height-relative:page;" fillcolor="#FFFFFF" filled="t" stroked="f" coordsize="21600,21600" o:gfxdata="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JdxHx/aAAAADAEAAA8A&#10;AAAAAAAAAQAgAAAAIgAAAGRycy9kb3ducmV2LnhtbFBLAQIUABQAAAAIAIdO4kD3ogrIFQIAADwE&#10;AAAOAAAAAAAAAAEAIAAAACkBAABkcnMvZTJvRG9jLnhtbFBLBQYAAAAABgAGAFkBAACwBQAAAAA=&#10;">
                <v:fill on="t" focussize="0,0"/>
                <v:stroke on="f"/>
                <v:imagedata o:title=""/>
                <o:lock v:ext="edit" aspectratio="f"/>
                <v:textbox inset="0mm,0mm,0mm,0mm">
                  <w:txbxContent>
                    <w:p>
                      <w:pPr>
                        <w:jc w:val="center"/>
                        <w:rPr>
                          <w:rFonts w:ascii="黑体" w:eastAsia="黑体"/>
                          <w:sz w:val="30"/>
                        </w:rPr>
                      </w:pPr>
                      <w:r>
                        <w:rPr>
                          <w:rStyle w:val="35"/>
                          <w:rFonts w:hint="eastAsia" w:ascii="黑体" w:hAnsi="黑体" w:eastAsia="黑体"/>
                          <w:b w:val="0"/>
                          <w:sz w:val="28"/>
                          <w:szCs w:val="28"/>
                        </w:rPr>
                        <w:t>中华人民共和国应急管理部</w:t>
                      </w:r>
                      <w:r>
                        <w:rPr>
                          <w:rFonts w:hint="eastAsia" w:ascii="黑体" w:hAnsi="黑体" w:eastAsia="黑体"/>
                          <w:b/>
                          <w:sz w:val="28"/>
                          <w:szCs w:val="28"/>
                        </w:rPr>
                        <w:t xml:space="preserve"> </w:t>
                      </w:r>
                      <w:r>
                        <w:rPr>
                          <w:rFonts w:hint="eastAsia" w:ascii="黑体" w:eastAsia="黑体"/>
                          <w:b/>
                          <w:sz w:val="28"/>
                        </w:rPr>
                        <w:t xml:space="preserve">  </w:t>
                      </w:r>
                      <w:r>
                        <w:rPr>
                          <w:rFonts w:hint="eastAsia" w:ascii="黑体" w:eastAsia="黑体"/>
                          <w:sz w:val="28"/>
                        </w:rPr>
                        <w:t>发 布</w:t>
                      </w:r>
                    </w:p>
                  </w:txbxContent>
                </v:textbox>
                <w10:anchorlock/>
              </v:shape>
            </w:pict>
          </mc:Fallback>
        </mc:AlternateContent>
      </w:r>
      <w:r>
        <w:rPr>
          <w:rFonts w:eastAsia="黑体"/>
          <w:b/>
          <w:sz w:val="21"/>
        </w:rPr>
        <mc:AlternateContent>
          <mc:Choice Requires="wps">
            <w:drawing>
              <wp:anchor distT="0" distB="0" distL="114300" distR="114300" simplePos="0" relativeHeight="251665408" behindDoc="0" locked="1" layoutInCell="1" allowOverlap="1">
                <wp:simplePos x="0" y="0"/>
                <wp:positionH relativeFrom="margin">
                  <wp:posOffset>4100830</wp:posOffset>
                </wp:positionH>
                <wp:positionV relativeFrom="margin">
                  <wp:posOffset>8847455</wp:posOffset>
                </wp:positionV>
                <wp:extent cx="2019300" cy="312420"/>
                <wp:effectExtent l="0" t="0" r="0" b="11430"/>
                <wp:wrapNone/>
                <wp:docPr id="6" name="Text Box 11"/>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pPr>
                              <w:pStyle w:val="26"/>
                              <w:numPr>
                                <w:ilvl w:val="4"/>
                                <w:numId w:val="0"/>
                              </w:numPr>
                              <w:rPr>
                                <w:b/>
                              </w:rPr>
                            </w:pPr>
                            <w:r>
                              <w:rPr>
                                <w:rFonts w:hint="eastAsia" w:ascii="黑体"/>
                              </w:rPr>
                              <w:t>xxxx -xx-xx</w:t>
                            </w:r>
                            <w:r>
                              <w:rPr>
                                <w:rFonts w:hint="eastAsia"/>
                              </w:rPr>
                              <w:t>实施</w:t>
                            </w:r>
                          </w:p>
                        </w:txbxContent>
                      </wps:txbx>
                      <wps:bodyPr rot="0" vert="horz" wrap="square" lIns="0" tIns="0" rIns="0" bIns="0" anchor="t" anchorCtr="0" upright="1">
                        <a:noAutofit/>
                      </wps:bodyPr>
                    </wps:wsp>
                  </a:graphicData>
                </a:graphic>
              </wp:anchor>
            </w:drawing>
          </mc:Choice>
          <mc:Fallback>
            <w:pict>
              <v:shape id="Text Box 11" o:spid="_x0000_s1026" o:spt="202" type="#_x0000_t202" style="position:absolute;left:0pt;margin-left:322.9pt;margin-top:696.65pt;height:24.6pt;width:159pt;mso-position-horizontal-relative:margin;mso-position-vertical-relative:margin;z-index:251665408;mso-width-relative:page;mso-height-relative:page;" fillcolor="#FFFFFF" filled="t" stroked="f" coordsize="21600,21600" o:gfxdata="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M8WzR/bAAAADQEA&#10;AA8AAAAAAAAAAQAgAAAAIgAAAGRycy9kb3ducmV2LnhtbFBLAQIUABQAAAAIAIdO4kD3reXqFwIA&#10;ADwEAAAOAAAAAAAAAAEAIAAAACoBAABkcnMvZTJvRG9jLnhtbFBLBQYAAAAABgAGAFkBAACzBQAA&#10;AAA=&#10;">
                <v:fill on="t" focussize="0,0"/>
                <v:stroke on="f"/>
                <v:imagedata o:title=""/>
                <o:lock v:ext="edit" aspectratio="f"/>
                <v:textbox inset="0mm,0mm,0mm,0mm">
                  <w:txbxContent>
                    <w:p>
                      <w:pPr>
                        <w:pStyle w:val="26"/>
                        <w:numPr>
                          <w:ilvl w:val="4"/>
                          <w:numId w:val="0"/>
                        </w:numPr>
                        <w:rPr>
                          <w:b/>
                        </w:rPr>
                      </w:pPr>
                      <w:r>
                        <w:rPr>
                          <w:rFonts w:hint="eastAsia" w:ascii="黑体"/>
                        </w:rPr>
                        <w:t>xxxx -xx-xx</w:t>
                      </w:r>
                      <w:r>
                        <w:rPr>
                          <w:rFonts w:hint="eastAsia"/>
                        </w:rPr>
                        <w:t>实施</w:t>
                      </w:r>
                    </w:p>
                  </w:txbxContent>
                </v:textbox>
                <w10:anchorlock/>
              </v:shape>
            </w:pict>
          </mc:Fallback>
        </mc:AlternateContent>
      </w:r>
      <w:r>
        <w:rPr>
          <w:rFonts w:eastAsia="黑体"/>
          <w:b/>
          <w:sz w:val="21"/>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8847455</wp:posOffset>
                </wp:positionV>
                <wp:extent cx="2019300" cy="312420"/>
                <wp:effectExtent l="0" t="0" r="0" b="11430"/>
                <wp:wrapNone/>
                <wp:docPr id="5" name="Text Box 10"/>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pPr>
                              <w:pStyle w:val="27"/>
                              <w:rPr>
                                <w:b/>
                              </w:rPr>
                            </w:pPr>
                            <w:r>
                              <w:rPr>
                                <w:rFonts w:hint="eastAsia" w:ascii="黑体"/>
                              </w:rPr>
                              <w:t>xxxx -xx-xx</w:t>
                            </w:r>
                            <w:r>
                              <w:rPr>
                                <w:rFonts w:hint="eastAsia"/>
                              </w:rPr>
                              <w:t>发布</w:t>
                            </w:r>
                          </w:p>
                        </w:txbxContent>
                      </wps:txbx>
                      <wps:bodyPr rot="0" vert="horz" wrap="square" lIns="0" tIns="0" rIns="0" bIns="0" anchor="t" anchorCtr="0" upright="1">
                        <a:noAutofit/>
                      </wps:bodyPr>
                    </wps:wsp>
                  </a:graphicData>
                </a:graphic>
              </wp:anchor>
            </w:drawing>
          </mc:Choice>
          <mc:Fallback>
            <w:pict>
              <v:shape id="Text Box 10" o:spid="_x0000_s1026" o:spt="202" type="#_x0000_t202" style="position:absolute;left:0pt;margin-left:0pt;margin-top:696.65pt;height:24.6pt;width:159pt;mso-position-horizontal-relative:margin;mso-position-vertical-relative:margin;z-index:251664384;mso-width-relative:page;mso-height-relative:page;" fillcolor="#FFFFFF" filled="t" stroked="f" coordsize="21600,21600" o:gfxdata="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NLdrUDYAAAACgEAAA8AAAAA&#10;AAAAAQAgAAAAIgAAAGRycy9kb3ducmV2LnhtbFBLAQIUABQAAAAIAIdO4kBl37pDFAIAADwEAAAO&#10;AAAAAAAAAAEAIAAAACcBAABkcnMvZTJvRG9jLnhtbFBLBQYAAAAABgAGAFkBAACtBQAAAAA=&#10;">
                <v:fill on="t" focussize="0,0"/>
                <v:stroke on="f"/>
                <v:imagedata o:title=""/>
                <o:lock v:ext="edit" aspectratio="f"/>
                <v:textbox inset="0mm,0mm,0mm,0mm">
                  <w:txbxContent>
                    <w:p>
                      <w:pPr>
                        <w:pStyle w:val="27"/>
                        <w:rPr>
                          <w:b/>
                        </w:rPr>
                      </w:pPr>
                      <w:r>
                        <w:rPr>
                          <w:rFonts w:hint="eastAsia" w:ascii="黑体"/>
                        </w:rPr>
                        <w:t>xxxx -xx-xx</w:t>
                      </w:r>
                      <w:r>
                        <w:rPr>
                          <w:rFonts w:hint="eastAsia"/>
                        </w:rPr>
                        <w:t>发布</w:t>
                      </w:r>
                    </w:p>
                  </w:txbxContent>
                </v:textbox>
                <w10:anchorlock/>
              </v:shape>
            </w:pict>
          </mc:Fallback>
        </mc:AlternateContent>
      </w:r>
      <w:r>
        <w:rPr>
          <w:rFonts w:eastAsia="黑体"/>
          <w:b/>
          <w:sz w:val="21"/>
        </w:rP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3635375</wp:posOffset>
                </wp:positionV>
                <wp:extent cx="5969000" cy="4681220"/>
                <wp:effectExtent l="0" t="0" r="12700" b="5080"/>
                <wp:wrapNone/>
                <wp:docPr id="4" name="Text Box 9"/>
                <wp:cNvGraphicFramePr/>
                <a:graphic xmlns:a="http://schemas.openxmlformats.org/drawingml/2006/main">
                  <a:graphicData uri="http://schemas.microsoft.com/office/word/2010/wordprocessingShape">
                    <wps:wsp>
                      <wps:cNvSpPr txBox="1">
                        <a:spLocks noChangeArrowheads="1"/>
                      </wps:cNvSpPr>
                      <wps:spPr bwMode="auto">
                        <a:xfrm>
                          <a:off x="0" y="0"/>
                          <a:ext cx="5969000" cy="4681220"/>
                        </a:xfrm>
                        <a:prstGeom prst="rect">
                          <a:avLst/>
                        </a:prstGeom>
                        <a:solidFill>
                          <a:srgbClr val="FFFFFF"/>
                        </a:solidFill>
                        <a:ln>
                          <a:noFill/>
                        </a:ln>
                        <a:effectLst/>
                      </wps:spPr>
                      <wps:txbx>
                        <w:txbxContent>
                          <w:p>
                            <w:pPr>
                              <w:pStyle w:val="24"/>
                              <w:adjustRightInd w:val="0"/>
                              <w:snapToGrid w:val="0"/>
                              <w:spacing w:line="240" w:lineRule="auto"/>
                              <w:rPr>
                                <w:szCs w:val="52"/>
                              </w:rPr>
                            </w:pPr>
                            <w:r>
                              <w:rPr>
                                <w:rFonts w:hint="eastAsia"/>
                                <w:szCs w:val="52"/>
                              </w:rPr>
                              <w:t>生产安全事故应急救援评估规范</w:t>
                            </w:r>
                          </w:p>
                          <w:p>
                            <w:pPr>
                              <w:pStyle w:val="24"/>
                              <w:adjustRightInd w:val="0"/>
                              <w:snapToGrid w:val="0"/>
                              <w:spacing w:line="240" w:lineRule="auto"/>
                              <w:rPr>
                                <w:szCs w:val="52"/>
                              </w:rPr>
                            </w:pPr>
                          </w:p>
                          <w:p>
                            <w:pPr>
                              <w:pStyle w:val="47"/>
                              <w:textAlignment w:val="bottom"/>
                              <w:rPr>
                                <w:rFonts w:eastAsia="黑体"/>
                                <w:szCs w:val="28"/>
                              </w:rPr>
                            </w:pPr>
                            <w:r>
                              <w:rPr>
                                <w:rFonts w:hint="eastAsia" w:eastAsia="黑体"/>
                                <w:szCs w:val="28"/>
                              </w:rPr>
                              <w:t>Specification</w:t>
                            </w:r>
                            <w:r>
                              <w:rPr>
                                <w:rFonts w:eastAsia="黑体"/>
                                <w:szCs w:val="28"/>
                              </w:rPr>
                              <w:t xml:space="preserve"> for emergency rescue assessment on work place accidents</w:t>
                            </w:r>
                          </w:p>
                          <w:p>
                            <w:pPr>
                              <w:pStyle w:val="25"/>
                              <w:rPr>
                                <w:rFonts w:hAnsi="宋体"/>
                                <w:sz w:val="24"/>
                                <w:szCs w:val="24"/>
                              </w:rPr>
                            </w:pPr>
                            <w:r>
                              <w:rPr>
                                <w:rFonts w:hint="eastAsia" w:hAnsi="宋体"/>
                                <w:sz w:val="24"/>
                                <w:szCs w:val="24"/>
                              </w:rPr>
                              <w:t>（</w:t>
                            </w:r>
                            <w:r>
                              <w:rPr>
                                <w:rFonts w:hint="eastAsia" w:hAnsi="宋体"/>
                                <w:sz w:val="24"/>
                                <w:szCs w:val="24"/>
                                <w:lang w:eastAsia="zh-CN"/>
                              </w:rPr>
                              <w:t>征求意见稿</w:t>
                            </w:r>
                            <w:r>
                              <w:rPr>
                                <w:rFonts w:hint="eastAsia" w:hAnsi="宋体"/>
                                <w:sz w:val="24"/>
                                <w:szCs w:val="24"/>
                              </w:rPr>
                              <w:t>）</w:t>
                            </w:r>
                          </w:p>
                          <w:p>
                            <w:pPr>
                              <w:autoSpaceDE w:val="0"/>
                              <w:autoSpaceDN w:val="0"/>
                              <w:adjustRightInd w:val="0"/>
                              <w:jc w:val="left"/>
                              <w:rPr>
                                <w:rFonts w:ascii="宋体" w:hAnsi="Times New Roman" w:eastAsia="宋体" w:cs="宋体"/>
                                <w:kern w:val="0"/>
                                <w:szCs w:val="21"/>
                              </w:rPr>
                            </w:pPr>
                          </w:p>
                          <w:p>
                            <w:pPr>
                              <w:autoSpaceDE w:val="0"/>
                              <w:autoSpaceDN w:val="0"/>
                              <w:adjustRightInd w:val="0"/>
                              <w:jc w:val="left"/>
                              <w:rPr>
                                <w:rFonts w:ascii="宋体" w:hAnsi="Times New Roman" w:eastAsia="宋体" w:cs="宋体"/>
                                <w:kern w:val="0"/>
                                <w:szCs w:val="21"/>
                              </w:rPr>
                            </w:pPr>
                          </w:p>
                          <w:p>
                            <w:pPr>
                              <w:autoSpaceDE w:val="0"/>
                              <w:autoSpaceDN w:val="0"/>
                              <w:adjustRightInd w:val="0"/>
                              <w:jc w:val="left"/>
                              <w:rPr>
                                <w:rFonts w:ascii="宋体" w:hAnsi="Times New Roman" w:eastAsia="宋体" w:cs="宋体"/>
                                <w:kern w:val="0"/>
                                <w:sz w:val="24"/>
                              </w:rPr>
                            </w:pPr>
                          </w:p>
                          <w:p>
                            <w:pPr>
                              <w:autoSpaceDE w:val="0"/>
                              <w:autoSpaceDN w:val="0"/>
                              <w:adjustRightInd w:val="0"/>
                              <w:jc w:val="center"/>
                              <w:rPr>
                                <w:rFonts w:ascii="宋体" w:hAnsi="Times New Roman" w:eastAsia="宋体" w:cs="宋体"/>
                                <w:kern w:val="0"/>
                                <w:sz w:val="24"/>
                              </w:rPr>
                            </w:pPr>
                            <w:r>
                              <w:rPr>
                                <w:rFonts w:hint="eastAsia" w:ascii="宋体" w:hAnsi="Times New Roman" w:eastAsia="宋体" w:cs="宋体"/>
                                <w:kern w:val="0"/>
                                <w:sz w:val="24"/>
                              </w:rPr>
                              <w:t>在提交反馈意见时，请将您知道的相关专利连同支持性文件一并附上。</w:t>
                            </w:r>
                          </w:p>
                        </w:txbxContent>
                      </wps:txbx>
                      <wps:bodyPr rot="0" vert="horz" wrap="square" lIns="0" tIns="0" rIns="0" bIns="0" anchor="t" anchorCtr="0" upright="1">
                        <a:noAutofit/>
                      </wps:bodyPr>
                    </wps:wsp>
                  </a:graphicData>
                </a:graphic>
              </wp:anchor>
            </w:drawing>
          </mc:Choice>
          <mc:Fallback>
            <w:pict>
              <v:shape id="Text Box 9" o:spid="_x0000_s1026" o:spt="202" type="#_x0000_t202" style="position:absolute;left:0pt;margin-left:0pt;margin-top:286.25pt;height:368.6pt;width:470pt;mso-position-horizontal-relative:margin;mso-position-vertical-relative:margin;z-index:251663360;mso-width-relative:page;mso-height-relative:page;" fillcolor="#FFFFFF" filled="t" stroked="f" coordsize="21600,21600" o:gfxdata="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VFefcdgAAAAJAQAADwAA&#10;AAAAAAABACAAAAAiAAAAZHJzL2Rvd25yZXYueG1sUEsBAhQAFAAAAAgAh07iQPVBuy0WAgAAPAQA&#10;AA4AAAAAAAAAAQAgAAAAJwEAAGRycy9lMm9Eb2MueG1sUEsFBgAAAAAGAAYAWQEAAK8FAAAAAA==&#10;">
                <v:fill on="t" focussize="0,0"/>
                <v:stroke on="f"/>
                <v:imagedata o:title=""/>
                <o:lock v:ext="edit" aspectratio="f"/>
                <v:textbox inset="0mm,0mm,0mm,0mm">
                  <w:txbxContent>
                    <w:p>
                      <w:pPr>
                        <w:pStyle w:val="24"/>
                        <w:adjustRightInd w:val="0"/>
                        <w:snapToGrid w:val="0"/>
                        <w:spacing w:line="240" w:lineRule="auto"/>
                        <w:rPr>
                          <w:szCs w:val="52"/>
                        </w:rPr>
                      </w:pPr>
                      <w:r>
                        <w:rPr>
                          <w:rFonts w:hint="eastAsia"/>
                          <w:szCs w:val="52"/>
                        </w:rPr>
                        <w:t>生产安全事故应急救援评估规范</w:t>
                      </w:r>
                    </w:p>
                    <w:p>
                      <w:pPr>
                        <w:pStyle w:val="24"/>
                        <w:adjustRightInd w:val="0"/>
                        <w:snapToGrid w:val="0"/>
                        <w:spacing w:line="240" w:lineRule="auto"/>
                        <w:rPr>
                          <w:szCs w:val="52"/>
                        </w:rPr>
                      </w:pPr>
                    </w:p>
                    <w:p>
                      <w:pPr>
                        <w:pStyle w:val="47"/>
                        <w:textAlignment w:val="bottom"/>
                        <w:rPr>
                          <w:rFonts w:eastAsia="黑体"/>
                          <w:szCs w:val="28"/>
                        </w:rPr>
                      </w:pPr>
                      <w:r>
                        <w:rPr>
                          <w:rFonts w:hint="eastAsia" w:eastAsia="黑体"/>
                          <w:szCs w:val="28"/>
                        </w:rPr>
                        <w:t>Specification</w:t>
                      </w:r>
                      <w:r>
                        <w:rPr>
                          <w:rFonts w:eastAsia="黑体"/>
                          <w:szCs w:val="28"/>
                        </w:rPr>
                        <w:t xml:space="preserve"> for emergency rescue assessment on work place accidents</w:t>
                      </w:r>
                    </w:p>
                    <w:p>
                      <w:pPr>
                        <w:pStyle w:val="25"/>
                        <w:rPr>
                          <w:rFonts w:hAnsi="宋体"/>
                          <w:sz w:val="24"/>
                          <w:szCs w:val="24"/>
                        </w:rPr>
                      </w:pPr>
                      <w:r>
                        <w:rPr>
                          <w:rFonts w:hint="eastAsia" w:hAnsi="宋体"/>
                          <w:sz w:val="24"/>
                          <w:szCs w:val="24"/>
                        </w:rPr>
                        <w:t>（</w:t>
                      </w:r>
                      <w:r>
                        <w:rPr>
                          <w:rFonts w:hint="eastAsia" w:hAnsi="宋体"/>
                          <w:sz w:val="24"/>
                          <w:szCs w:val="24"/>
                          <w:lang w:eastAsia="zh-CN"/>
                        </w:rPr>
                        <w:t>征求意见稿</w:t>
                      </w:r>
                      <w:r>
                        <w:rPr>
                          <w:rFonts w:hint="eastAsia" w:hAnsi="宋体"/>
                          <w:sz w:val="24"/>
                          <w:szCs w:val="24"/>
                        </w:rPr>
                        <w:t>）</w:t>
                      </w:r>
                    </w:p>
                    <w:p>
                      <w:pPr>
                        <w:autoSpaceDE w:val="0"/>
                        <w:autoSpaceDN w:val="0"/>
                        <w:adjustRightInd w:val="0"/>
                        <w:jc w:val="left"/>
                        <w:rPr>
                          <w:rFonts w:ascii="宋体" w:hAnsi="Times New Roman" w:eastAsia="宋体" w:cs="宋体"/>
                          <w:kern w:val="0"/>
                          <w:szCs w:val="21"/>
                        </w:rPr>
                      </w:pPr>
                    </w:p>
                    <w:p>
                      <w:pPr>
                        <w:autoSpaceDE w:val="0"/>
                        <w:autoSpaceDN w:val="0"/>
                        <w:adjustRightInd w:val="0"/>
                        <w:jc w:val="left"/>
                        <w:rPr>
                          <w:rFonts w:ascii="宋体" w:hAnsi="Times New Roman" w:eastAsia="宋体" w:cs="宋体"/>
                          <w:kern w:val="0"/>
                          <w:szCs w:val="21"/>
                        </w:rPr>
                      </w:pPr>
                    </w:p>
                    <w:p>
                      <w:pPr>
                        <w:autoSpaceDE w:val="0"/>
                        <w:autoSpaceDN w:val="0"/>
                        <w:adjustRightInd w:val="0"/>
                        <w:jc w:val="left"/>
                        <w:rPr>
                          <w:rFonts w:ascii="宋体" w:hAnsi="Times New Roman" w:eastAsia="宋体" w:cs="宋体"/>
                          <w:kern w:val="0"/>
                          <w:sz w:val="24"/>
                        </w:rPr>
                      </w:pPr>
                    </w:p>
                    <w:p>
                      <w:pPr>
                        <w:autoSpaceDE w:val="0"/>
                        <w:autoSpaceDN w:val="0"/>
                        <w:adjustRightInd w:val="0"/>
                        <w:jc w:val="center"/>
                        <w:rPr>
                          <w:rFonts w:ascii="宋体" w:hAnsi="Times New Roman" w:eastAsia="宋体" w:cs="宋体"/>
                          <w:kern w:val="0"/>
                          <w:sz w:val="24"/>
                        </w:rPr>
                      </w:pPr>
                      <w:r>
                        <w:rPr>
                          <w:rFonts w:hint="eastAsia" w:ascii="宋体" w:hAnsi="Times New Roman" w:eastAsia="宋体" w:cs="宋体"/>
                          <w:kern w:val="0"/>
                          <w:sz w:val="24"/>
                        </w:rPr>
                        <w:t>在提交反馈意见时，请将您知道的相关专利连同支持性文件一并附上。</w:t>
                      </w:r>
                    </w:p>
                  </w:txbxContent>
                </v:textbox>
                <w10:anchorlock/>
              </v:shape>
            </w:pict>
          </mc:Fallback>
        </mc:AlternateContent>
      </w:r>
      <w:r>
        <w:rPr>
          <w:rFonts w:eastAsia="黑体"/>
          <w:b/>
          <w:sz w:val="21"/>
        </w:rPr>
        <mc:AlternateContent>
          <mc:Choice Requires="wps">
            <w:drawing>
              <wp:anchor distT="0" distB="0" distL="114300" distR="114300" simplePos="0" relativeHeight="251662336" behindDoc="0" locked="1" layoutInCell="1" allowOverlap="1">
                <wp:simplePos x="0" y="0"/>
                <wp:positionH relativeFrom="margin">
                  <wp:posOffset>53975</wp:posOffset>
                </wp:positionH>
                <wp:positionV relativeFrom="margin">
                  <wp:posOffset>1584960</wp:posOffset>
                </wp:positionV>
                <wp:extent cx="5969000" cy="860425"/>
                <wp:effectExtent l="0" t="0" r="12700" b="15875"/>
                <wp:wrapNone/>
                <wp:docPr id="3" name="Text Box 8"/>
                <wp:cNvGraphicFramePr/>
                <a:graphic xmlns:a="http://schemas.openxmlformats.org/drawingml/2006/main">
                  <a:graphicData uri="http://schemas.microsoft.com/office/word/2010/wordprocessingShape">
                    <wps:wsp>
                      <wps:cNvSpPr txBox="1">
                        <a:spLocks noChangeArrowheads="1"/>
                      </wps:cNvSpPr>
                      <wps:spPr bwMode="auto">
                        <a:xfrm>
                          <a:off x="0" y="0"/>
                          <a:ext cx="5969000" cy="860425"/>
                        </a:xfrm>
                        <a:prstGeom prst="rect">
                          <a:avLst/>
                        </a:prstGeom>
                        <a:solidFill>
                          <a:srgbClr val="FFFFFF"/>
                        </a:solidFill>
                        <a:ln>
                          <a:noFill/>
                        </a:ln>
                        <a:effectLst/>
                      </wps:spPr>
                      <wps:txbx>
                        <w:txbxContent>
                          <w:p>
                            <w:pPr>
                              <w:pStyle w:val="49"/>
                              <w:ind w:right="140"/>
                              <w:rPr>
                                <w:rFonts w:ascii="黑体" w:eastAsia="黑体"/>
                                <w:b/>
                              </w:rPr>
                            </w:pPr>
                            <w:r>
                              <w:rPr>
                                <w:rFonts w:eastAsia="黑体"/>
                                <w:b/>
                              </w:rPr>
                              <w:t>AQ</w:t>
                            </w:r>
                            <w:r>
                              <w:rPr>
                                <w:rFonts w:hint="eastAsia" w:ascii="黑体" w:eastAsia="黑体"/>
                                <w:b/>
                              </w:rPr>
                              <w:t xml:space="preserve"> </w:t>
                            </w:r>
                            <w:r>
                              <w:rPr>
                                <w:rFonts w:hint="eastAsia" w:ascii="黑体" w:eastAsia="黑体"/>
                              </w:rPr>
                              <w:t>xxxx—xxxx</w:t>
                            </w:r>
                          </w:p>
                        </w:txbxContent>
                      </wps:txbx>
                      <wps:bodyPr rot="0" vert="horz" wrap="square" lIns="0" tIns="0" rIns="0" bIns="0" anchor="t" anchorCtr="0" upright="1">
                        <a:noAutofit/>
                      </wps:bodyPr>
                    </wps:wsp>
                  </a:graphicData>
                </a:graphic>
              </wp:anchor>
            </w:drawing>
          </mc:Choice>
          <mc:Fallback>
            <w:pict>
              <v:shape id="Text Box 8" o:spid="_x0000_s1026" o:spt="202" type="#_x0000_t202" style="position:absolute;left:0pt;margin-left:4.25pt;margin-top:124.8pt;height:67.75pt;width:470pt;mso-position-horizontal-relative:margin;mso-position-vertical-relative:margin;z-index:251662336;mso-width-relative:page;mso-height-relative:page;" fillcolor="#FFFFFF" filled="t" stroked="f" coordsize="21600,21600" o:gfxdata="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rW5p3ZAAAACQEAAA8A&#10;AAAAAAAAAQAgAAAAIgAAAGRycy9kb3ducmV2LnhtbFBLAQIUABQAAAAIAIdO4kBZode0FgIAADsE&#10;AAAOAAAAAAAAAAEAIAAAACgBAABkcnMvZTJvRG9jLnhtbFBLBQYAAAAABgAGAFkBAACwBQAAAAA=&#10;">
                <v:fill on="t" focussize="0,0"/>
                <v:stroke on="f"/>
                <v:imagedata o:title=""/>
                <o:lock v:ext="edit" aspectratio="f"/>
                <v:textbox inset="0mm,0mm,0mm,0mm">
                  <w:txbxContent>
                    <w:p>
                      <w:pPr>
                        <w:pStyle w:val="49"/>
                        <w:ind w:right="140"/>
                        <w:rPr>
                          <w:rFonts w:ascii="黑体" w:eastAsia="黑体"/>
                          <w:b/>
                        </w:rPr>
                      </w:pPr>
                      <w:r>
                        <w:rPr>
                          <w:rFonts w:eastAsia="黑体"/>
                          <w:b/>
                        </w:rPr>
                        <w:t>AQ</w:t>
                      </w:r>
                      <w:r>
                        <w:rPr>
                          <w:rFonts w:hint="eastAsia" w:ascii="黑体" w:eastAsia="黑体"/>
                          <w:b/>
                        </w:rPr>
                        <w:t xml:space="preserve"> </w:t>
                      </w:r>
                      <w:r>
                        <w:rPr>
                          <w:rFonts w:hint="eastAsia" w:ascii="黑体" w:eastAsia="黑体"/>
                        </w:rPr>
                        <w:t>xxxx—xxxx</w:t>
                      </w:r>
                    </w:p>
                  </w:txbxContent>
                </v:textbox>
                <w10:anchorlock/>
              </v:shape>
            </w:pict>
          </mc:Fallback>
        </mc:AlternateContent>
      </w:r>
      <w:r>
        <w:rPr>
          <w:rFonts w:eastAsia="黑体"/>
          <w:b/>
          <w:sz w:val="21"/>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1129030</wp:posOffset>
                </wp:positionV>
                <wp:extent cx="6120130" cy="495300"/>
                <wp:effectExtent l="0" t="0" r="13970" b="0"/>
                <wp:wrapNone/>
                <wp:docPr id="2" name="Text Box 7"/>
                <wp:cNvGraphicFramePr/>
                <a:graphic xmlns:a="http://schemas.openxmlformats.org/drawingml/2006/main">
                  <a:graphicData uri="http://schemas.microsoft.com/office/word/2010/wordprocessingShape">
                    <wps:wsp>
                      <wps:cNvSpPr txBox="1">
                        <a:spLocks noChangeArrowheads="1"/>
                      </wps:cNvSpPr>
                      <wps:spPr bwMode="auto">
                        <a:xfrm>
                          <a:off x="0" y="0"/>
                          <a:ext cx="6120130" cy="495300"/>
                        </a:xfrm>
                        <a:prstGeom prst="rect">
                          <a:avLst/>
                        </a:prstGeom>
                        <a:solidFill>
                          <a:srgbClr val="FFFFFF"/>
                        </a:solidFill>
                        <a:ln>
                          <a:noFill/>
                        </a:ln>
                        <a:effectLst/>
                      </wps:spPr>
                      <wps:txbx>
                        <w:txbxContent>
                          <w:p>
                            <w:pPr>
                              <w:jc w:val="distribute"/>
                              <w:rPr>
                                <w:rFonts w:ascii="黑体" w:eastAsia="黑体"/>
                                <w:b/>
                                <w:w w:val="110"/>
                                <w:sz w:val="52"/>
                              </w:rPr>
                            </w:pPr>
                            <w:r>
                              <w:rPr>
                                <w:rFonts w:hint="eastAsia" w:ascii="黑体" w:eastAsia="黑体"/>
                                <w:w w:val="110"/>
                                <w:sz w:val="52"/>
                              </w:rPr>
                              <w:t>中华人民共和国安全生产行业标准</w:t>
                            </w:r>
                          </w:p>
                        </w:txbxContent>
                      </wps:txbx>
                      <wps:bodyPr rot="0" vert="horz" wrap="square" lIns="0" tIns="0" rIns="0" bIns="0" anchor="t" anchorCtr="0" upright="1">
                        <a:noAutofit/>
                      </wps:bodyPr>
                    </wps:wsp>
                  </a:graphicData>
                </a:graphic>
              </wp:anchor>
            </w:drawing>
          </mc:Choice>
          <mc:Fallback>
            <w:pict>
              <v:shape id="Text Box 7" o:spid="_x0000_s1026" o:spt="202" type="#_x0000_t202" style="position:absolute;left:0pt;margin-left:0pt;margin-top:88.9pt;height:39pt;width:481.9pt;mso-position-horizontal-relative:margin;mso-position-vertical-relative:margin;z-index:251661312;mso-width-relative:page;mso-height-relative:page;" fillcolor="#FFFFFF" filled="t" stroked="f" coordsize="21600,21600" o:gfxdata="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KML7w2AAAAAgBAAAPAAAA&#10;AAAAAAEAIAAAACIAAABkcnMvZG93bnJldi54bWxQSwECFAAUAAAACACHTuJAts2ushUCAAA7BAAA&#10;DgAAAAAAAAABACAAAAAnAQAAZHJzL2Uyb0RvYy54bWxQSwUGAAAAAAYABgBZAQAArgUAAAAA&#10;">
                <v:fill on="t" focussize="0,0"/>
                <v:stroke on="f"/>
                <v:imagedata o:title=""/>
                <o:lock v:ext="edit" aspectratio="f"/>
                <v:textbox inset="0mm,0mm,0mm,0mm">
                  <w:txbxContent>
                    <w:p>
                      <w:pPr>
                        <w:jc w:val="distribute"/>
                        <w:rPr>
                          <w:rFonts w:ascii="黑体" w:eastAsia="黑体"/>
                          <w:b/>
                          <w:w w:val="110"/>
                          <w:sz w:val="52"/>
                        </w:rPr>
                      </w:pPr>
                      <w:r>
                        <w:rPr>
                          <w:rFonts w:hint="eastAsia" w:ascii="黑体" w:eastAsia="黑体"/>
                          <w:w w:val="110"/>
                          <w:sz w:val="52"/>
                        </w:rPr>
                        <w:t>中华人民共和国安全生产行业标准</w:t>
                      </w:r>
                    </w:p>
                  </w:txbxContent>
                </v:textbox>
                <w10:anchorlock/>
              </v:shape>
            </w:pict>
          </mc:Fallback>
        </mc:AlternateContent>
      </w:r>
      <w:r>
        <w:rPr>
          <w:rFonts w:eastAsia="黑体"/>
          <w:b/>
          <w:sz w:val="21"/>
        </w:rPr>
        <w:t xml:space="preserve">ICS </w:t>
      </w:r>
      <w:r>
        <w:rPr>
          <w:rFonts w:hint="eastAsia" w:ascii="黑体" w:hAnsi="黑体" w:eastAsia="黑体"/>
          <w:sz w:val="21"/>
        </w:rPr>
        <w:t>13.200</w:t>
      </w:r>
    </w:p>
    <w:p>
      <w:pPr>
        <w:pStyle w:val="46"/>
        <w:contextualSpacing/>
        <w:rPr>
          <w:b/>
        </w:rPr>
      </w:pPr>
      <w:r>
        <w:rPr>
          <w:rFonts w:hint="eastAsia"/>
          <w:b/>
        </w:rPr>
        <w:t>CCS  C 78</w:t>
      </w:r>
    </w:p>
    <w:p>
      <w:pPr>
        <w:pStyle w:val="46"/>
        <w:contextualSpacing/>
        <w:rPr>
          <w:rFonts w:ascii="黑体" w:eastAsia="黑体"/>
        </w:rPr>
      </w:pPr>
      <w:r>
        <w:rPr>
          <w:rFonts w:ascii="黑体" w:hAnsi="黑体" w:eastAsia="黑体"/>
          <w:b/>
          <w:sz w:val="21"/>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1823085</wp:posOffset>
                </wp:positionV>
                <wp:extent cx="6121400" cy="635"/>
                <wp:effectExtent l="0" t="0" r="0" b="0"/>
                <wp:wrapNone/>
                <wp:docPr id="7" name="Line 6"/>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700">
                          <a:solidFill>
                            <a:srgbClr val="000000"/>
                          </a:solidFill>
                          <a:round/>
                        </a:ln>
                        <a:effectLst/>
                      </wps:spPr>
                      <wps:bodyPr/>
                    </wps:wsp>
                  </a:graphicData>
                </a:graphic>
              </wp:anchor>
            </w:drawing>
          </mc:Choice>
          <mc:Fallback>
            <w:pict>
              <v:line id="Line 6" o:spid="_x0000_s1026" o:spt="20" style="position:absolute;left:0pt;margin-left:0pt;margin-top:143.55pt;height:0.05pt;width:482pt;z-index:251666432;mso-width-relative:page;mso-height-relative:page;" filled="f" stroked="t" coordsize="21600,21600" o:gfxdata="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cPw2dcAAAAIAQAADwAAAAAAAAABACAAAAAiAAAA&#10;ZHJzL2Rvd25yZXYueG1sUEsBAhQAFAAAAAgAh07iQObOoeDPAQAAsAMAAA4AAAAAAAAAAQAgAAAA&#10;JgEAAGRycy9lMm9Eb2MueG1sUEsFBgAAAAAGAAYAWQEAAGcFAAAAAA==&#10;">
                <v:fill on="f" focussize="0,0"/>
                <v:stroke weight="1pt" color="#000000" joinstyle="round"/>
                <v:imagedata o:title=""/>
                <o:lock v:ext="edit" aspectratio="f"/>
              </v:line>
            </w:pict>
          </mc:Fallback>
        </mc:AlternateContent>
      </w:r>
      <w:r>
        <w:rPr>
          <w:rFonts w:hint="eastAsia" w:ascii="黑体" w:hAnsi="黑体" w:eastAsia="黑体"/>
          <w:sz w:val="21"/>
        </w:rPr>
        <w:t>备案号：</w:t>
      </w:r>
    </w:p>
    <w:p>
      <w:pPr>
        <w:rPr>
          <w:rFonts w:ascii="宋体" w:hAnsi="宋体"/>
          <w:sz w:val="28"/>
          <w:szCs w:val="28"/>
        </w:rPr>
        <w:sectPr>
          <w:headerReference r:id="rId5" w:type="first"/>
          <w:footerReference r:id="rId7" w:type="first"/>
          <w:headerReference r:id="rId3" w:type="default"/>
          <w:headerReference r:id="rId4" w:type="even"/>
          <w:footerReference r:id="rId6" w:type="even"/>
          <w:pgSz w:w="11906" w:h="16838"/>
          <w:pgMar w:top="-338" w:right="1134" w:bottom="1021" w:left="1134" w:header="0" w:footer="454" w:gutter="284"/>
          <w:pgNumType w:fmt="numberInDash" w:start="6"/>
          <w:cols w:space="720" w:num="1"/>
          <w:titlePg/>
          <w:docGrid w:linePitch="312" w:charSpace="0"/>
        </w:sectPr>
      </w:pPr>
      <w:r>
        <w:rPr>
          <w:rFonts w:ascii="Times New Roman" w:hAnsi="Times New Roman" w:eastAsia="黑体"/>
          <w:b/>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8573770</wp:posOffset>
                </wp:positionV>
                <wp:extent cx="6121400" cy="635"/>
                <wp:effectExtent l="0" t="0" r="0" b="0"/>
                <wp:wrapNone/>
                <wp:docPr id="8" name="Line 5"/>
                <wp:cNvGraphicFramePr/>
                <a:graphic xmlns:a="http://schemas.openxmlformats.org/drawingml/2006/main">
                  <a:graphicData uri="http://schemas.microsoft.com/office/word/2010/wordprocessingShape">
                    <wps:wsp>
                      <wps:cNvCnPr>
                        <a:cxnSpLocks noChangeShapeType="1"/>
                      </wps:cNvCnPr>
                      <wps:spPr bwMode="auto">
                        <a:xfrm>
                          <a:off x="0" y="0"/>
                          <a:ext cx="6121400" cy="635"/>
                        </a:xfrm>
                        <a:prstGeom prst="line">
                          <a:avLst/>
                        </a:prstGeom>
                        <a:noFill/>
                        <a:ln w="12700">
                          <a:solidFill>
                            <a:srgbClr val="000000"/>
                          </a:solidFill>
                          <a:round/>
                        </a:ln>
                        <a:effectLst/>
                      </wps:spPr>
                      <wps:bodyPr/>
                    </wps:wsp>
                  </a:graphicData>
                </a:graphic>
              </wp:anchor>
            </w:drawing>
          </mc:Choice>
          <mc:Fallback>
            <w:pict>
              <v:line id="Line 5" o:spid="_x0000_s1026" o:spt="20" style="position:absolute;left:0pt;margin-left:0pt;margin-top:675.1pt;height:0.05pt;width:482pt;z-index:251667456;mso-width-relative:page;mso-height-relative:page;" filled="f" stroked="t" coordsize="21600,21600" o:gfxdata="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PMpgv/YAAAACgEAAA8AAAAAAAAAAQAgAAAAIgAA&#10;AGRycy9kb3ducmV2LnhtbFBLAQIUABQAAAAIAIdO4kDSFmPqzwEAALADAAAOAAAAAAAAAAEAIAAA&#10;ACcBAABkcnMvZTJvRG9jLnhtbFBLBQYAAAAABgAGAFkBAABoBQAAAAA=&#10;">
                <v:fill on="f" focussize="0,0"/>
                <v:stroke weight="1pt" color="#000000" joinstyle="round"/>
                <v:imagedata o:title=""/>
                <o:lock v:ext="edit" aspectratio="f"/>
              </v:line>
            </w:pict>
          </mc:Fallback>
        </mc:AlternateContent>
      </w:r>
      <w:r>
        <mc:AlternateContent>
          <mc:Choice Requires="wps">
            <w:drawing>
              <wp:anchor distT="0" distB="0" distL="114300" distR="114300" simplePos="0" relativeHeight="251660288" behindDoc="0" locked="1" layoutInCell="1" allowOverlap="1">
                <wp:simplePos x="0" y="0"/>
                <wp:positionH relativeFrom="margin">
                  <wp:posOffset>133350</wp:posOffset>
                </wp:positionH>
                <wp:positionV relativeFrom="margin">
                  <wp:posOffset>9310370</wp:posOffset>
                </wp:positionV>
                <wp:extent cx="6120130" cy="177800"/>
                <wp:effectExtent l="0" t="0" r="13970" b="12700"/>
                <wp:wrapNone/>
                <wp:docPr id="1" name="Text Box 4"/>
                <wp:cNvGraphicFramePr/>
                <a:graphic xmlns:a="http://schemas.openxmlformats.org/drawingml/2006/main">
                  <a:graphicData uri="http://schemas.microsoft.com/office/word/2010/wordprocessingShape">
                    <wps:wsp>
                      <wps:cNvSpPr txBox="1">
                        <a:spLocks noChangeArrowheads="1"/>
                      </wps:cNvSpPr>
                      <wps:spPr bwMode="auto">
                        <a:xfrm>
                          <a:off x="0" y="0"/>
                          <a:ext cx="6120130" cy="177800"/>
                        </a:xfrm>
                        <a:prstGeom prst="rect">
                          <a:avLst/>
                        </a:prstGeom>
                        <a:solidFill>
                          <a:srgbClr val="FFFFFF"/>
                        </a:solidFill>
                        <a:ln>
                          <a:noFill/>
                        </a:ln>
                        <a:effectLst/>
                      </wps:spPr>
                      <wps:txbx>
                        <w:txbxContent>
                          <w:p>
                            <w:pPr>
                              <w:rPr>
                                <w:rFonts w:ascii="黑体" w:eastAsia="黑体"/>
                                <w:b/>
                                <w:sz w:val="28"/>
                                <w:szCs w:val="18"/>
                              </w:rPr>
                            </w:pPr>
                          </w:p>
                        </w:txbxContent>
                      </wps:txbx>
                      <wps:bodyPr rot="0" vert="horz" wrap="square" lIns="0" tIns="0" rIns="0" bIns="0" anchor="t" anchorCtr="0" upright="1">
                        <a:noAutofit/>
                      </wps:bodyPr>
                    </wps:wsp>
                  </a:graphicData>
                </a:graphic>
              </wp:anchor>
            </w:drawing>
          </mc:Choice>
          <mc:Fallback>
            <w:pict>
              <v:shape id="Text Box 4" o:spid="_x0000_s1026" o:spt="202" type="#_x0000_t202" style="position:absolute;left:0pt;margin-left:10.5pt;margin-top:733.1pt;height:14pt;width:481.9pt;mso-position-horizontal-relative:margin;mso-position-vertical-relative:margin;z-index:251660288;mso-width-relative:page;mso-height-relative:page;" fillcolor="#FFFFFF" filled="t" stroked="f" coordsize="21600,21600" o:gfxdata="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LroVs2QAAAAwBAAAPAAAA&#10;AAAAAAEAIAAAACIAAABkcnMvZG93bnJldi54bWxQSwECFAAUAAAACACHTuJAa/XgfhQCAAA7BAAA&#10;DgAAAAAAAAABACAAAAAoAQAAZHJzL2Uyb0RvYy54bWxQSwUGAAAAAAYABgBZAQAArgUAAAAA&#10;">
                <v:fill on="t" focussize="0,0"/>
                <v:stroke on="f"/>
                <v:imagedata o:title=""/>
                <o:lock v:ext="edit" aspectratio="f"/>
                <v:textbox inset="0mm,0mm,0mm,0mm">
                  <w:txbxContent>
                    <w:p>
                      <w:pPr>
                        <w:rPr>
                          <w:rFonts w:ascii="黑体" w:eastAsia="黑体"/>
                          <w:b/>
                          <w:sz w:val="28"/>
                          <w:szCs w:val="18"/>
                        </w:rPr>
                      </w:pPr>
                    </w:p>
                  </w:txbxContent>
                </v:textbox>
                <w10:anchorlock/>
              </v:shape>
            </w:pict>
          </mc:Fallback>
        </mc:AlternateContent>
      </w:r>
    </w:p>
    <w:bookmarkEnd w:id="1"/>
    <w:p>
      <w:pPr>
        <w:widowControl w:val="0"/>
        <w:adjustRightInd w:val="0"/>
        <w:spacing w:after="468" w:afterLines="150"/>
        <w:jc w:val="center"/>
        <w:rPr>
          <w:rFonts w:ascii="黑体" w:hAnsi="Times New Roman" w:eastAsia="黑体" w:cs="Times New Roman"/>
          <w:kern w:val="2"/>
          <w:sz w:val="32"/>
          <w:szCs w:val="21"/>
          <w:lang w:val="en-US" w:eastAsia="zh-CN" w:bidi="ar-SA"/>
        </w:rPr>
      </w:pPr>
      <w:r>
        <w:rPr>
          <w:rFonts w:ascii="黑体" w:hAnsi="Times New Roman" w:eastAsia="黑体" w:cs="Times New Roman"/>
          <w:spacing w:val="320"/>
          <w:kern w:val="2"/>
          <w:sz w:val="32"/>
          <w:szCs w:val="21"/>
          <w:lang w:val="en-US" w:eastAsia="zh-CN" w:bidi="ar-SA"/>
        </w:rPr>
        <w:t>目</w:t>
      </w:r>
      <w:r>
        <w:rPr>
          <w:rFonts w:ascii="黑体" w:hAnsi="Times New Roman" w:eastAsia="黑体" w:cs="Times New Roman"/>
          <w:kern w:val="2"/>
          <w:sz w:val="32"/>
          <w:szCs w:val="21"/>
          <w:lang w:val="en-US" w:eastAsia="zh-CN" w:bidi="ar-SA"/>
        </w:rPr>
        <w:t>次</w:t>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ascii="Times New Roman" w:hAnsi="Times New Roman" w:cs="Times New Roman" w:eastAsiaTheme="minorEastAsia"/>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TOC \o "1-3" \h \z \u </w:instrText>
      </w:r>
      <w:r>
        <w:rPr>
          <w:rFonts w:ascii="宋体" w:hAnsi="Times New Roman" w:eastAsia="宋体" w:cs="Times New Roman"/>
          <w:kern w:val="2"/>
          <w:sz w:val="21"/>
          <w:szCs w:val="21"/>
          <w:lang w:val="en-US" w:eastAsia="zh-CN" w:bidi="ar-SA"/>
        </w:rPr>
        <w:fldChar w:fldCharType="separate"/>
      </w: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"_Toc118880701" </w:instrText>
      </w:r>
      <w:r>
        <w:rPr>
          <w:rFonts w:ascii="宋体" w:hAnsi="Times New Roman" w:eastAsia="宋体" w:cs="Times New Roman"/>
          <w:kern w:val="2"/>
          <w:sz w:val="21"/>
          <w:szCs w:val="21"/>
          <w:lang w:val="en-US" w:eastAsia="zh-CN" w:bidi="ar-SA"/>
        </w:rPr>
        <w:fldChar w:fldCharType="separate"/>
      </w:r>
      <w:r>
        <w:rPr>
          <w:rStyle w:val="18"/>
          <w:rFonts w:ascii="Times New Roman" w:hAnsi="Times New Roman" w:eastAsia="宋体" w:cs="Times New Roman"/>
          <w:kern w:val="2"/>
          <w:sz w:val="21"/>
          <w:szCs w:val="21"/>
          <w:lang w:val="en-US" w:eastAsia="zh-CN" w:bidi="ar-SA"/>
        </w:rPr>
        <w:t>前言</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_Toc118880701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II</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hint="eastAsia" w:ascii="宋体" w:hAnsi="宋体" w:eastAsia="宋体" w:cs="宋体"/>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"_Toc118880702" </w:instrText>
      </w:r>
      <w:r>
        <w:rPr>
          <w:rFonts w:ascii="宋体" w:hAnsi="Times New Roman" w:eastAsia="宋体" w:cs="Times New Roman"/>
          <w:kern w:val="2"/>
          <w:sz w:val="21"/>
          <w:szCs w:val="21"/>
          <w:lang w:val="en-US" w:eastAsia="zh-CN" w:bidi="ar-SA"/>
        </w:rPr>
        <w:fldChar w:fldCharType="separate"/>
      </w:r>
      <w:r>
        <w:rPr>
          <w:rStyle w:val="18"/>
          <w:rFonts w:ascii="Times New Roman" w:hAnsi="Times New Roman" w:eastAsia="宋体" w:cs="Times New Roman"/>
          <w:kern w:val="2"/>
          <w:sz w:val="21"/>
          <w:szCs w:val="21"/>
          <w:lang w:val="en-US" w:eastAsia="zh-CN" w:bidi="ar-SA"/>
        </w:rPr>
        <w:t xml:space="preserve">1 </w:t>
      </w:r>
      <w:r>
        <w:rPr>
          <w:rStyle w:val="18"/>
          <w:rFonts w:hint="eastAsia" w:ascii="Times New Roman" w:hAnsi="Times New Roman" w:eastAsia="宋体" w:cs="Times New Roman"/>
          <w:kern w:val="2"/>
          <w:sz w:val="21"/>
          <w:szCs w:val="21"/>
          <w:lang w:val="en-US" w:eastAsia="zh-CN" w:bidi="ar-SA"/>
        </w:rPr>
        <w:t>范围</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_Toc118880702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ascii="Times New Roman" w:hAnsi="Times New Roman" w:cs="Times New Roman" w:eastAsiaTheme="minorEastAsia"/>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"_Toc118880703" </w:instrText>
      </w:r>
      <w:r>
        <w:rPr>
          <w:rFonts w:ascii="宋体" w:hAnsi="Times New Roman" w:eastAsia="宋体" w:cs="Times New Roman"/>
          <w:kern w:val="2"/>
          <w:sz w:val="21"/>
          <w:szCs w:val="21"/>
          <w:lang w:val="en-US" w:eastAsia="zh-CN" w:bidi="ar-SA"/>
        </w:rPr>
        <w:fldChar w:fldCharType="separate"/>
      </w:r>
      <w:r>
        <w:rPr>
          <w:rStyle w:val="18"/>
          <w:rFonts w:ascii="Times New Roman" w:hAnsi="Times New Roman" w:eastAsia="宋体" w:cs="Times New Roman"/>
          <w:kern w:val="2"/>
          <w:sz w:val="21"/>
          <w:szCs w:val="21"/>
          <w:lang w:val="en-US" w:eastAsia="zh-CN" w:bidi="ar-SA"/>
        </w:rPr>
        <w:t xml:space="preserve">2 </w:t>
      </w:r>
      <w:r>
        <w:rPr>
          <w:rStyle w:val="18"/>
          <w:rFonts w:hint="eastAsia" w:ascii="Times New Roman" w:hAnsi="Times New Roman" w:eastAsia="宋体" w:cs="Times New Roman"/>
          <w:kern w:val="2"/>
          <w:sz w:val="21"/>
          <w:szCs w:val="21"/>
          <w:lang w:val="en-US" w:eastAsia="zh-CN" w:bidi="ar-SA"/>
        </w:rPr>
        <w:t>规范性引用文件</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_Toc118880703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ascii="Times New Roman" w:hAnsi="Times New Roman" w:cs="Times New Roman" w:eastAsiaTheme="minorEastAsia"/>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"_Toc118880704" </w:instrText>
      </w:r>
      <w:r>
        <w:rPr>
          <w:rFonts w:ascii="宋体" w:hAnsi="Times New Roman" w:eastAsia="宋体" w:cs="Times New Roman"/>
          <w:kern w:val="2"/>
          <w:sz w:val="21"/>
          <w:szCs w:val="21"/>
          <w:lang w:val="en-US" w:eastAsia="zh-CN" w:bidi="ar-SA"/>
        </w:rPr>
        <w:fldChar w:fldCharType="separate"/>
      </w:r>
      <w:r>
        <w:rPr>
          <w:rStyle w:val="18"/>
          <w:rFonts w:ascii="Times New Roman" w:hAnsi="Times New Roman" w:eastAsia="宋体" w:cs="Times New Roman"/>
          <w:kern w:val="2"/>
          <w:sz w:val="21"/>
          <w:szCs w:val="21"/>
          <w:lang w:val="en-US" w:eastAsia="zh-CN" w:bidi="ar-SA"/>
        </w:rPr>
        <w:t xml:space="preserve">3 </w:t>
      </w:r>
      <w:r>
        <w:rPr>
          <w:rStyle w:val="18"/>
          <w:rFonts w:hint="eastAsia" w:ascii="Times New Roman" w:hAnsi="Times New Roman" w:eastAsia="宋体" w:cs="Times New Roman"/>
          <w:kern w:val="2"/>
          <w:sz w:val="21"/>
          <w:szCs w:val="21"/>
          <w:lang w:val="en-US" w:eastAsia="zh-CN" w:bidi="ar-SA"/>
        </w:rPr>
        <w:t>术语和定义</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_Toc118880704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ascii="Times New Roman" w:hAnsi="Times New Roman" w:cs="Times New Roman" w:eastAsiaTheme="minorEastAsia"/>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"_Toc118880705" </w:instrText>
      </w:r>
      <w:r>
        <w:rPr>
          <w:rFonts w:ascii="宋体" w:hAnsi="Times New Roman" w:eastAsia="宋体" w:cs="Times New Roman"/>
          <w:kern w:val="2"/>
          <w:sz w:val="21"/>
          <w:szCs w:val="21"/>
          <w:lang w:val="en-US" w:eastAsia="zh-CN" w:bidi="ar-SA"/>
        </w:rPr>
        <w:fldChar w:fldCharType="separate"/>
      </w:r>
      <w:r>
        <w:rPr>
          <w:rStyle w:val="18"/>
          <w:rFonts w:ascii="Times New Roman" w:hAnsi="Times New Roman" w:eastAsia="宋体" w:cs="Times New Roman"/>
          <w:kern w:val="2"/>
          <w:sz w:val="21"/>
          <w:szCs w:val="21"/>
          <w:lang w:val="en-US" w:eastAsia="zh-CN" w:bidi="ar-SA"/>
        </w:rPr>
        <w:t xml:space="preserve">4 </w:t>
      </w:r>
      <w:r>
        <w:rPr>
          <w:rStyle w:val="18"/>
          <w:rFonts w:hint="eastAsia" w:ascii="Times New Roman" w:hAnsi="Times New Roman" w:eastAsia="宋体" w:cs="Times New Roman"/>
          <w:kern w:val="2"/>
          <w:sz w:val="21"/>
          <w:szCs w:val="21"/>
          <w:lang w:val="en-US" w:eastAsia="zh-CN" w:bidi="ar-SA"/>
        </w:rPr>
        <w:t>基本要求</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_Toc118880705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1</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ascii="Times New Roman" w:hAnsi="Times New Roman" w:cs="Times New Roman" w:eastAsiaTheme="minorEastAsia"/>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"_Toc118880715" </w:instrText>
      </w:r>
      <w:r>
        <w:rPr>
          <w:rFonts w:ascii="宋体" w:hAnsi="Times New Roman" w:eastAsia="宋体" w:cs="Times New Roman"/>
          <w:kern w:val="2"/>
          <w:sz w:val="21"/>
          <w:szCs w:val="21"/>
          <w:lang w:val="en-US" w:eastAsia="zh-CN" w:bidi="ar-SA"/>
        </w:rPr>
        <w:fldChar w:fldCharType="separate"/>
      </w:r>
      <w:r>
        <w:rPr>
          <w:rStyle w:val="18"/>
          <w:rFonts w:ascii="Times New Roman" w:hAnsi="Times New Roman" w:eastAsia="宋体" w:cs="Times New Roman"/>
          <w:kern w:val="2"/>
          <w:sz w:val="21"/>
          <w:szCs w:val="21"/>
          <w:lang w:val="en-US" w:eastAsia="zh-CN" w:bidi="ar-SA"/>
        </w:rPr>
        <w:t xml:space="preserve">5 </w:t>
      </w:r>
      <w:r>
        <w:rPr>
          <w:rStyle w:val="18"/>
          <w:rFonts w:hint="eastAsia" w:ascii="Times New Roman" w:hAnsi="Times New Roman" w:eastAsia="宋体" w:cs="Times New Roman"/>
          <w:kern w:val="2"/>
          <w:sz w:val="21"/>
          <w:szCs w:val="21"/>
          <w:lang w:val="en-US" w:eastAsia="zh-CN" w:bidi="ar-SA"/>
        </w:rPr>
        <w:t>评估程序</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_Toc118880715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2</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ascii="Times New Roman" w:hAnsi="Times New Roman" w:cs="Times New Roman" w:eastAsiaTheme="minorEastAsia"/>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"_Toc118880723" </w:instrText>
      </w:r>
      <w:r>
        <w:rPr>
          <w:rFonts w:ascii="宋体" w:hAnsi="Times New Roman" w:eastAsia="宋体" w:cs="Times New Roman"/>
          <w:kern w:val="2"/>
          <w:sz w:val="21"/>
          <w:szCs w:val="21"/>
          <w:lang w:val="en-US" w:eastAsia="zh-CN" w:bidi="ar-SA"/>
        </w:rPr>
        <w:fldChar w:fldCharType="separate"/>
      </w:r>
      <w:r>
        <w:rPr>
          <w:rStyle w:val="18"/>
          <w:rFonts w:ascii="Times New Roman" w:hAnsi="Times New Roman" w:eastAsia="宋体" w:cs="Times New Roman"/>
          <w:kern w:val="2"/>
          <w:sz w:val="21"/>
          <w:szCs w:val="21"/>
          <w:lang w:val="en-US" w:eastAsia="zh-CN" w:bidi="ar-SA"/>
        </w:rPr>
        <w:t xml:space="preserve">6 </w:t>
      </w:r>
      <w:r>
        <w:rPr>
          <w:rStyle w:val="18"/>
          <w:rFonts w:hint="eastAsia" w:ascii="Times New Roman" w:hAnsi="Times New Roman" w:eastAsia="宋体" w:cs="Times New Roman"/>
          <w:kern w:val="2"/>
          <w:sz w:val="21"/>
          <w:szCs w:val="21"/>
          <w:lang w:val="en-US" w:eastAsia="zh-CN" w:bidi="ar-SA"/>
        </w:rPr>
        <w:t>评估内容</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_Toc118880723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3</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ascii="Times New Roman" w:hAnsi="Times New Roman" w:cs="Times New Roman" w:eastAsiaTheme="minorEastAsia"/>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"_Toc118880739" </w:instrText>
      </w:r>
      <w:r>
        <w:rPr>
          <w:rFonts w:ascii="宋体" w:hAnsi="Times New Roman" w:eastAsia="宋体" w:cs="Times New Roman"/>
          <w:kern w:val="2"/>
          <w:sz w:val="21"/>
          <w:szCs w:val="21"/>
          <w:lang w:val="en-US" w:eastAsia="zh-CN" w:bidi="ar-SA"/>
        </w:rPr>
        <w:fldChar w:fldCharType="separate"/>
      </w:r>
      <w:r>
        <w:rPr>
          <w:rStyle w:val="18"/>
          <w:rFonts w:hint="eastAsia" w:ascii="Times New Roman" w:hAnsi="Times New Roman" w:eastAsia="宋体" w:cs="Times New Roman"/>
          <w:kern w:val="2"/>
          <w:sz w:val="21"/>
          <w:szCs w:val="21"/>
          <w:lang w:val="en-US" w:eastAsia="zh-CN" w:bidi="ar-SA"/>
        </w:rPr>
        <w:t>附录</w:t>
      </w:r>
      <w:r>
        <w:rPr>
          <w:rStyle w:val="18"/>
          <w:rFonts w:ascii="Times New Roman" w:hAnsi="Times New Roman" w:eastAsia="宋体" w:cs="Times New Roman"/>
          <w:kern w:val="2"/>
          <w:sz w:val="21"/>
          <w:szCs w:val="21"/>
          <w:lang w:val="en-US" w:eastAsia="zh-CN" w:bidi="ar-SA"/>
        </w:rPr>
        <w:t xml:space="preserve">A </w:t>
      </w:r>
      <w:r>
        <w:rPr>
          <w:rStyle w:val="18"/>
          <w:rFonts w:hint="eastAsia" w:ascii="Times New Roman" w:hAnsi="Times New Roman" w:eastAsia="宋体" w:cs="Times New Roman"/>
          <w:kern w:val="2"/>
          <w:sz w:val="21"/>
          <w:szCs w:val="21"/>
          <w:lang w:val="en-US" w:eastAsia="zh-CN" w:bidi="ar-SA"/>
        </w:rPr>
        <w:t>（规范性）</w:t>
      </w:r>
      <w:r>
        <w:rPr>
          <w:rStyle w:val="18"/>
          <w:rFonts w:ascii="Times New Roman" w:hAnsi="Times New Roman" w:eastAsia="宋体" w:cs="Times New Roman"/>
          <w:kern w:val="2"/>
          <w:sz w:val="21"/>
          <w:szCs w:val="21"/>
          <w:lang w:val="en-US" w:eastAsia="zh-CN" w:bidi="ar-SA"/>
        </w:rPr>
        <w:t xml:space="preserve"> </w:t>
      </w:r>
      <w:r>
        <w:rPr>
          <w:rFonts w:hint="eastAsia" w:ascii="宋体" w:hAnsi="Times New Roman" w:eastAsia="宋体" w:cs="Times New Roman"/>
          <w:kern w:val="2"/>
          <w:sz w:val="21"/>
          <w:szCs w:val="22"/>
          <w:lang w:val="en-US" w:eastAsia="zh-CN" w:bidi="ar-SA"/>
        </w:rPr>
        <w:t>应急救援评估表</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_Toc118880739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7</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tabs>
          <w:tab w:val="right" w:leader="dot" w:pos="9344"/>
        </w:tabs>
        <w:kinsoku/>
        <w:wordWrap/>
        <w:overflowPunct/>
        <w:topLinePunct w:val="0"/>
        <w:autoSpaceDE/>
        <w:autoSpaceDN/>
        <w:bidi w:val="0"/>
        <w:adjustRightInd w:val="0"/>
        <w:snapToGrid/>
        <w:spacing w:line="360" w:lineRule="auto"/>
        <w:jc w:val="both"/>
        <w:textAlignment w:val="auto"/>
        <w:rPr>
          <w:rFonts w:ascii="Times New Roman" w:hAnsi="Times New Roman" w:cs="Times New Roman" w:eastAsiaTheme="minorEastAsia"/>
          <w:kern w:val="2"/>
          <w:sz w:val="21"/>
          <w:szCs w:val="22"/>
          <w:lang w:val="en-US" w:eastAsia="zh-CN" w:bidi="ar-SA"/>
        </w:rPr>
      </w:pPr>
      <w:r>
        <w:rPr>
          <w:rFonts w:ascii="宋体" w:hAnsi="Times New Roman" w:eastAsia="宋体" w:cs="Times New Roman"/>
          <w:kern w:val="2"/>
          <w:sz w:val="21"/>
          <w:szCs w:val="21"/>
          <w:lang w:val="en-US" w:eastAsia="zh-CN" w:bidi="ar-SA"/>
        </w:rPr>
        <w:fldChar w:fldCharType="begin"/>
      </w:r>
      <w:r>
        <w:rPr>
          <w:rFonts w:ascii="宋体" w:hAnsi="Times New Roman" w:eastAsia="宋体" w:cs="Times New Roman"/>
          <w:kern w:val="2"/>
          <w:sz w:val="21"/>
          <w:szCs w:val="21"/>
          <w:lang w:val="en-US" w:eastAsia="zh-CN" w:bidi="ar-SA"/>
        </w:rPr>
        <w:instrText xml:space="preserve"> HYPERLINK \l "_Toc118880742" </w:instrText>
      </w:r>
      <w:r>
        <w:rPr>
          <w:rFonts w:ascii="宋体" w:hAnsi="Times New Roman" w:eastAsia="宋体" w:cs="Times New Roman"/>
          <w:kern w:val="2"/>
          <w:sz w:val="21"/>
          <w:szCs w:val="21"/>
          <w:lang w:val="en-US" w:eastAsia="zh-CN" w:bidi="ar-SA"/>
        </w:rPr>
        <w:fldChar w:fldCharType="separate"/>
      </w:r>
      <w:r>
        <w:rPr>
          <w:rStyle w:val="18"/>
          <w:rFonts w:hint="eastAsia" w:ascii="Times New Roman" w:hAnsi="Times New Roman" w:eastAsia="宋体" w:cs="Times New Roman"/>
          <w:kern w:val="2"/>
          <w:sz w:val="21"/>
          <w:szCs w:val="21"/>
          <w:lang w:val="en-US" w:eastAsia="zh-CN" w:bidi="ar-SA"/>
        </w:rPr>
        <w:t>附录</w:t>
      </w:r>
      <w:r>
        <w:rPr>
          <w:rStyle w:val="18"/>
          <w:rFonts w:ascii="Times New Roman" w:hAnsi="Times New Roman" w:eastAsia="宋体" w:cs="Times New Roman"/>
          <w:kern w:val="2"/>
          <w:sz w:val="21"/>
          <w:szCs w:val="21"/>
          <w:lang w:val="en-US" w:eastAsia="zh-CN" w:bidi="ar-SA"/>
        </w:rPr>
        <w:t xml:space="preserve">B </w:t>
      </w:r>
      <w:r>
        <w:rPr>
          <w:rStyle w:val="18"/>
          <w:rFonts w:hint="eastAsia" w:ascii="Times New Roman" w:hAnsi="Times New Roman" w:eastAsia="宋体" w:cs="Times New Roman"/>
          <w:kern w:val="2"/>
          <w:sz w:val="21"/>
          <w:szCs w:val="21"/>
          <w:lang w:val="en-US" w:eastAsia="zh-CN" w:bidi="ar-SA"/>
        </w:rPr>
        <w:t>（资料性）</w:t>
      </w:r>
      <w:r>
        <w:rPr>
          <w:rStyle w:val="18"/>
          <w:rFonts w:ascii="Times New Roman" w:hAnsi="Times New Roman" w:eastAsia="宋体" w:cs="Times New Roman"/>
          <w:kern w:val="2"/>
          <w:sz w:val="21"/>
          <w:szCs w:val="21"/>
          <w:lang w:val="en-US" w:eastAsia="zh-CN" w:bidi="ar-SA"/>
        </w:rPr>
        <w:t xml:space="preserve"> </w:t>
      </w:r>
      <w:r>
        <w:rPr>
          <w:rStyle w:val="18"/>
          <w:rFonts w:hint="eastAsia" w:ascii="Times New Roman" w:hAnsi="Times New Roman" w:eastAsia="宋体" w:cs="Times New Roman"/>
          <w:kern w:val="2"/>
          <w:sz w:val="21"/>
          <w:szCs w:val="21"/>
          <w:lang w:val="en-US" w:eastAsia="zh-CN" w:bidi="ar-SA"/>
        </w:rPr>
        <w:t>生产安全事故应急救援评估报告大纲</w:t>
      </w:r>
      <w:r>
        <w:rPr>
          <w:rFonts w:ascii="Times New Roman" w:hAnsi="Times New Roman" w:eastAsia="宋体" w:cs="Times New Roman"/>
          <w:kern w:val="2"/>
          <w:sz w:val="21"/>
          <w:szCs w:val="21"/>
          <w:lang w:val="en-US" w:eastAsia="zh-CN" w:bidi="ar-SA"/>
        </w:rPr>
        <w:tab/>
      </w:r>
      <w:r>
        <w:rPr>
          <w:rFonts w:ascii="Times New Roman" w:hAnsi="Times New Roman" w:eastAsia="宋体" w:cs="Times New Roman"/>
          <w:kern w:val="2"/>
          <w:sz w:val="21"/>
          <w:szCs w:val="21"/>
          <w:lang w:val="en-US" w:eastAsia="zh-CN" w:bidi="ar-SA"/>
        </w:rPr>
        <w:fldChar w:fldCharType="begin"/>
      </w:r>
      <w:r>
        <w:rPr>
          <w:rFonts w:ascii="Times New Roman" w:hAnsi="Times New Roman" w:eastAsia="宋体" w:cs="Times New Roman"/>
          <w:kern w:val="2"/>
          <w:sz w:val="21"/>
          <w:szCs w:val="21"/>
          <w:lang w:val="en-US" w:eastAsia="zh-CN" w:bidi="ar-SA"/>
        </w:rPr>
        <w:instrText xml:space="preserve"> PAGEREF _Toc118880742 \h </w:instrText>
      </w:r>
      <w:r>
        <w:rPr>
          <w:rFonts w:ascii="Times New Roman" w:hAnsi="Times New Roman" w:eastAsia="宋体" w:cs="Times New Roman"/>
          <w:kern w:val="2"/>
          <w:sz w:val="21"/>
          <w:szCs w:val="21"/>
          <w:lang w:val="en-US" w:eastAsia="zh-CN" w:bidi="ar-SA"/>
        </w:rPr>
        <w:fldChar w:fldCharType="separate"/>
      </w:r>
      <w:r>
        <w:rPr>
          <w:rFonts w:ascii="Times New Roman" w:hAnsi="Times New Roman" w:eastAsia="宋体" w:cs="Times New Roman"/>
          <w:kern w:val="2"/>
          <w:sz w:val="21"/>
          <w:szCs w:val="21"/>
          <w:lang w:val="en-US" w:eastAsia="zh-CN" w:bidi="ar-SA"/>
        </w:rPr>
        <w:t>11</w:t>
      </w:r>
      <w:r>
        <w:rPr>
          <w:rFonts w:ascii="Times New Roman" w:hAnsi="Times New Roman" w:eastAsia="宋体" w:cs="Times New Roman"/>
          <w:kern w:val="2"/>
          <w:sz w:val="21"/>
          <w:szCs w:val="21"/>
          <w:lang w:val="en-US" w:eastAsia="zh-CN" w:bidi="ar-SA"/>
        </w:rPr>
        <w:fldChar w:fldCharType="end"/>
      </w:r>
      <w:r>
        <w:rPr>
          <w:rFonts w:ascii="Times New Roman" w:hAnsi="Times New Roman" w:eastAsia="宋体" w:cs="Times New Roman"/>
          <w:kern w:val="2"/>
          <w:sz w:val="21"/>
          <w:szCs w:val="21"/>
          <w:lang w:val="en-US" w:eastAsia="zh-CN" w:bidi="ar-SA"/>
        </w:rPr>
        <w:fldChar w:fldCharType="end"/>
      </w:r>
    </w:p>
    <w:p>
      <w:pPr>
        <w:keepNext w:val="0"/>
        <w:keepLines w:val="0"/>
        <w:pageBreakBefore w:val="0"/>
        <w:widowControl w:val="0"/>
        <w:kinsoku/>
        <w:wordWrap/>
        <w:overflowPunct/>
        <w:topLinePunct w:val="0"/>
        <w:autoSpaceDE/>
        <w:autoSpaceDN/>
        <w:bidi w:val="0"/>
        <w:adjustRightInd w:val="0"/>
        <w:snapToGrid/>
        <w:spacing w:after="468" w:afterLines="150" w:line="360" w:lineRule="auto"/>
        <w:jc w:val="center"/>
        <w:textAlignment w:val="auto"/>
        <w:rPr>
          <w:rFonts w:ascii="黑体" w:hAnsi="Times New Roman" w:eastAsia="黑体" w:cs="Times New Roman"/>
          <w:kern w:val="2"/>
          <w:sz w:val="32"/>
          <w:szCs w:val="21"/>
          <w:lang w:val="en-US" w:eastAsia="zh-CN" w:bidi="ar-SA"/>
        </w:rPr>
      </w:pPr>
      <w:r>
        <w:rPr>
          <w:rFonts w:ascii="黑体" w:hAnsi="Times New Roman" w:eastAsia="黑体" w:cs="Times New Roman"/>
          <w:kern w:val="2"/>
          <w:sz w:val="32"/>
          <w:szCs w:val="21"/>
          <w:lang w:val="en-US" w:eastAsia="zh-CN" w:bidi="ar-SA"/>
        </w:rPr>
        <w:fldChar w:fldCharType="end"/>
      </w:r>
    </w:p>
    <w:p>
      <w:pPr>
        <w:tabs>
          <w:tab w:val="left" w:pos="1549"/>
        </w:tabs>
        <w:jc w:val="center"/>
        <w:rPr>
          <w:rFonts w:ascii="黑体" w:hAnsi="Times New Roman" w:eastAsia="黑体"/>
          <w:spacing w:val="320"/>
          <w:sz w:val="32"/>
          <w:szCs w:val="21"/>
        </w:rPr>
        <w:sectPr>
          <w:headerReference r:id="rId8" w:type="default"/>
          <w:footerReference r:id="rId9" w:type="default"/>
          <w:pgSz w:w="11906" w:h="16838"/>
          <w:pgMar w:top="1871" w:right="1134" w:bottom="1134" w:left="1134" w:header="1418" w:footer="1134" w:gutter="284"/>
          <w:pgNumType w:fmt="upperRoman" w:start="1"/>
          <w:cols w:space="720" w:num="1"/>
          <w:formProt w:val="0"/>
          <w:docGrid w:type="lines" w:linePitch="312" w:charSpace="0"/>
        </w:sectPr>
      </w:pPr>
      <w:bookmarkStart w:id="2" w:name="_Toc118880701"/>
      <w:bookmarkStart w:id="3" w:name="_Toc61420119"/>
      <w:bookmarkStart w:id="4" w:name="_Toc118880399"/>
      <w:bookmarkStart w:id="5" w:name="BookMark2"/>
    </w:p>
    <w:p>
      <w:pPr>
        <w:tabs>
          <w:tab w:val="left" w:pos="1549"/>
        </w:tabs>
        <w:jc w:val="center"/>
        <w:rPr>
          <w:rFonts w:ascii="黑体" w:hAnsi="Times New Roman" w:eastAsia="黑体" w:cs="Times New Roman"/>
          <w:spacing w:val="320"/>
          <w:sz w:val="32"/>
          <w:szCs w:val="21"/>
        </w:rPr>
      </w:pPr>
      <w:r>
        <w:rPr>
          <w:rFonts w:hint="eastAsia" w:ascii="黑体" w:hAnsi="Times New Roman" w:eastAsia="黑体" w:cs="Times New Roman"/>
          <w:spacing w:val="320"/>
          <w:sz w:val="32"/>
          <w:szCs w:val="21"/>
        </w:rPr>
        <w:t>前言</w:t>
      </w:r>
      <w:bookmarkEnd w:id="2"/>
      <w:bookmarkEnd w:id="3"/>
      <w:bookmarkEnd w:id="4"/>
    </w:p>
    <w:p>
      <w:pPr>
        <w:widowControl w:val="0"/>
        <w:spacing w:after="120"/>
        <w:ind w:left="420" w:leftChars="200" w:firstLine="420" w:firstLineChars="200"/>
        <w:jc w:val="both"/>
        <w:rPr>
          <w:rFonts w:ascii="等线" w:hAnsi="等线" w:eastAsia="等线" w:cs="Times New Roman"/>
          <w:kern w:val="2"/>
          <w:sz w:val="21"/>
          <w:szCs w:val="24"/>
          <w:lang w:val="en-US" w:eastAsia="zh-CN" w:bidi="ar-SA"/>
        </w:rPr>
      </w:pP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本文件按照GB/T 1.1—2020《标准化工作导则  第1部分：标准化文件的结构和起草规则》的规定起草。</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请注意本文件的某些内容可能涉及专利。本文件的发布机构不承担识别专利的责任。</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本文件由中华人民共和国应急管理部提出。</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本文件由全国安全生产标准化技术委员会（SAC/TC 288）归口。</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本文件起草单位：国家安全生产应急救援中心、中国安全生产科学研究院、中铁二局集团有限公司、清华大学合肥公共安全研究院、中国石化集团中原石油勘探局有限公司、中国矿业大学。</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本文件主要起草人：</w:t>
      </w:r>
      <w:bookmarkEnd w:id="5"/>
      <w:bookmarkStart w:id="6" w:name="BookMark3"/>
    </w:p>
    <w:p>
      <w:pPr>
        <w:ind w:firstLine="0" w:firstLineChars="0"/>
        <w:sectPr>
          <w:footerReference r:id="rId10" w:type="default"/>
          <w:pgSz w:w="11906" w:h="16838"/>
          <w:pgMar w:top="1871" w:right="1134" w:bottom="1134" w:left="1134" w:header="1418" w:footer="1134" w:gutter="284"/>
          <w:pgNumType w:fmt="upperRoman"/>
          <w:cols w:space="720" w:num="1"/>
          <w:formProt w:val="0"/>
          <w:docGrid w:type="lines" w:linePitch="312" w:charSpace="0"/>
        </w:sectPr>
      </w:pPr>
    </w:p>
    <w:bookmarkEnd w:id="6"/>
    <w:p>
      <w:pPr>
        <w:spacing w:line="20" w:lineRule="exact"/>
        <w:jc w:val="center"/>
        <w:rPr>
          <w:rFonts w:ascii="黑体" w:hAnsi="黑体" w:eastAsia="黑体" w:cs="Times New Roman"/>
          <w:sz w:val="32"/>
          <w:szCs w:val="32"/>
        </w:rPr>
      </w:pPr>
      <w:bookmarkStart w:id="7" w:name="BookMark4"/>
    </w:p>
    <w:p>
      <w:pPr>
        <w:spacing w:line="20" w:lineRule="exact"/>
        <w:jc w:val="center"/>
        <w:rPr>
          <w:rFonts w:ascii="黑体" w:hAnsi="黑体" w:eastAsia="黑体" w:cs="Times New Roman"/>
          <w:sz w:val="32"/>
          <w:szCs w:val="32"/>
        </w:rPr>
      </w:pPr>
    </w:p>
    <w:p>
      <w:pPr>
        <w:spacing w:before="567" w:beforeLines="182" w:after="686" w:afterLines="220" w:line="400" w:lineRule="exact"/>
        <w:jc w:val="center"/>
        <w:rPr>
          <w:rFonts w:ascii="黑体" w:hAnsi="黑体" w:eastAsia="黑体" w:cs="Times New Roman"/>
          <w:kern w:val="2"/>
          <w:sz w:val="32"/>
          <w:szCs w:val="32"/>
          <w:lang w:val="en-US" w:eastAsia="zh-CN" w:bidi="ar-SA"/>
        </w:rPr>
      </w:pPr>
      <w:bookmarkStart w:id="8" w:name="NEW_STAND_NAME"/>
      <w:r>
        <w:rPr>
          <w:rFonts w:hint="eastAsia" w:ascii="黑体" w:hAnsi="黑体" w:eastAsia="黑体" w:cs="Times New Roman"/>
          <w:kern w:val="2"/>
          <w:sz w:val="32"/>
          <w:szCs w:val="32"/>
          <w:lang w:val="en-US" w:eastAsia="zh-CN" w:bidi="ar-SA"/>
        </w:rPr>
        <w:t>生产安全事故应急救援评估</w:t>
      </w:r>
      <w:bookmarkEnd w:id="8"/>
      <w:r>
        <w:rPr>
          <w:rFonts w:hint="eastAsia" w:ascii="黑体" w:hAnsi="黑体" w:eastAsia="黑体" w:cs="Times New Roman"/>
          <w:kern w:val="2"/>
          <w:sz w:val="32"/>
          <w:szCs w:val="32"/>
          <w:lang w:val="en-US" w:eastAsia="zh-CN" w:bidi="ar-SA"/>
        </w:rPr>
        <w:t>规范</w:t>
      </w:r>
    </w:p>
    <w:p>
      <w:pPr>
        <w:keepNext w:val="0"/>
        <w:keepLines w:val="0"/>
        <w:pageBreakBefore w:val="0"/>
        <w:widowControl w:val="0"/>
        <w:numPr>
          <w:ilvl w:val="1"/>
          <w:numId w:val="7"/>
        </w:numPr>
        <w:kinsoku/>
        <w:wordWrap/>
        <w:overflowPunct/>
        <w:topLinePunct w:val="0"/>
        <w:autoSpaceDE/>
        <w:autoSpaceDN/>
        <w:bidi w:val="0"/>
        <w:adjustRightInd/>
        <w:snapToGrid/>
        <w:spacing w:before="312" w:beforeLines="100" w:after="312" w:afterLines="100"/>
        <w:ind w:left="0" w:firstLine="0"/>
        <w:jc w:val="left"/>
        <w:textAlignment w:val="auto"/>
        <w:outlineLvl w:val="0"/>
        <w:rPr>
          <w:rFonts w:ascii="黑体" w:hAnsi="Times New Roman" w:eastAsia="黑体" w:cs="Times New Roman"/>
          <w:sz w:val="21"/>
          <w:lang w:val="en-US" w:eastAsia="zh-CN" w:bidi="ar-SA"/>
        </w:rPr>
      </w:pPr>
      <w:bookmarkStart w:id="9" w:name="_Toc26648465"/>
      <w:bookmarkStart w:id="10" w:name="_Toc17233333"/>
      <w:bookmarkStart w:id="11" w:name="_Toc118880702"/>
      <w:bookmarkStart w:id="12" w:name="_Toc24884218"/>
      <w:bookmarkStart w:id="13" w:name="_Toc26718930"/>
      <w:bookmarkStart w:id="14" w:name="_Toc24884211"/>
      <w:bookmarkStart w:id="15" w:name="_Toc26986771"/>
      <w:bookmarkStart w:id="16" w:name="_Toc26986530"/>
      <w:bookmarkStart w:id="17" w:name="_Toc118880400"/>
      <w:bookmarkStart w:id="18" w:name="_Toc17233325"/>
      <w:r>
        <w:rPr>
          <w:rFonts w:hint="eastAsia" w:ascii="黑体" w:hAnsi="Times New Roman" w:eastAsia="黑体" w:cs="Times New Roman"/>
          <w:sz w:val="21"/>
          <w:lang w:val="en-US" w:eastAsia="zh-CN" w:bidi="ar-SA"/>
        </w:rPr>
        <w:t>范围</w:t>
      </w:r>
      <w:bookmarkEnd w:id="9"/>
      <w:bookmarkEnd w:id="10"/>
      <w:bookmarkEnd w:id="11"/>
      <w:bookmarkEnd w:id="12"/>
      <w:bookmarkEnd w:id="13"/>
      <w:bookmarkEnd w:id="14"/>
      <w:bookmarkEnd w:id="15"/>
      <w:bookmarkEnd w:id="16"/>
      <w:bookmarkEnd w:id="17"/>
      <w:bookmarkEnd w:id="18"/>
    </w:p>
    <w:p>
      <w:pPr>
        <w:autoSpaceDE w:val="0"/>
        <w:autoSpaceDN w:val="0"/>
        <w:ind w:firstLine="420" w:firstLineChars="200"/>
        <w:jc w:val="both"/>
        <w:rPr>
          <w:rFonts w:ascii="宋体" w:hAnsi="Times New Roman" w:eastAsia="宋体" w:cs="Times New Roman"/>
          <w:sz w:val="21"/>
          <w:lang w:val="en-US" w:eastAsia="zh-CN" w:bidi="ar-SA"/>
        </w:rPr>
      </w:pPr>
      <w:bookmarkStart w:id="19" w:name="_Toc24884212"/>
      <w:bookmarkStart w:id="20" w:name="_Toc17233326"/>
      <w:bookmarkStart w:id="21" w:name="_Toc24884219"/>
      <w:bookmarkStart w:id="22" w:name="_Toc26648466"/>
      <w:bookmarkStart w:id="23" w:name="_Toc17233334"/>
      <w:r>
        <w:rPr>
          <w:rFonts w:hint="eastAsia" w:ascii="宋体" w:hAnsi="Times New Roman" w:eastAsia="宋体" w:cs="Times New Roman"/>
          <w:sz w:val="21"/>
          <w:lang w:val="en-US" w:eastAsia="zh-CN" w:bidi="ar-SA"/>
        </w:rPr>
        <w:t>本文件</w:t>
      </w:r>
      <w:r>
        <w:rPr>
          <w:rFonts w:ascii="宋体" w:hAnsi="Times New Roman" w:eastAsia="宋体" w:cs="Times New Roman"/>
          <w:sz w:val="21"/>
          <w:lang w:val="en-US" w:eastAsia="zh-CN" w:bidi="ar-SA"/>
        </w:rPr>
        <w:t>规定</w:t>
      </w:r>
      <w:r>
        <w:rPr>
          <w:rFonts w:hint="eastAsia" w:ascii="宋体" w:hAnsi="Times New Roman" w:eastAsia="宋体" w:cs="Times New Roman"/>
          <w:sz w:val="21"/>
          <w:lang w:val="en-US" w:eastAsia="zh-CN" w:bidi="ar-SA"/>
        </w:rPr>
        <w:t>了生产安全事故应急救援评估的基本要求、评估程序和评估内容。</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本文件</w:t>
      </w:r>
      <w:r>
        <w:rPr>
          <w:rFonts w:ascii="宋体" w:hAnsi="Times New Roman" w:eastAsia="宋体" w:cs="Times New Roman"/>
          <w:sz w:val="21"/>
          <w:lang w:val="en-US" w:eastAsia="zh-CN" w:bidi="ar-SA"/>
        </w:rPr>
        <w:t>适用</w:t>
      </w:r>
      <w:r>
        <w:rPr>
          <w:rFonts w:hint="eastAsia" w:ascii="宋体" w:hAnsi="Times New Roman" w:eastAsia="宋体" w:cs="Times New Roman"/>
          <w:sz w:val="21"/>
          <w:lang w:val="en-US" w:eastAsia="zh-CN" w:bidi="ar-SA"/>
        </w:rPr>
        <w:t>于依法成立的事故调查组所开展的较大及以上生产安全事故应急救援评估工作。</w:t>
      </w:r>
    </w:p>
    <w:p>
      <w:pPr>
        <w:keepNext w:val="0"/>
        <w:keepLines w:val="0"/>
        <w:pageBreakBefore w:val="0"/>
        <w:widowControl w:val="0"/>
        <w:numPr>
          <w:ilvl w:val="1"/>
          <w:numId w:val="7"/>
        </w:numPr>
        <w:kinsoku/>
        <w:wordWrap/>
        <w:overflowPunct/>
        <w:topLinePunct w:val="0"/>
        <w:autoSpaceDE/>
        <w:autoSpaceDN/>
        <w:bidi w:val="0"/>
        <w:adjustRightInd/>
        <w:snapToGrid/>
        <w:spacing w:before="312" w:beforeLines="100" w:after="312" w:afterLines="100"/>
        <w:ind w:left="0" w:firstLine="0"/>
        <w:jc w:val="left"/>
        <w:textAlignment w:val="auto"/>
        <w:outlineLvl w:val="0"/>
        <w:rPr>
          <w:rFonts w:ascii="黑体" w:hAnsi="Times New Roman" w:eastAsia="黑体" w:cs="Times New Roman"/>
          <w:sz w:val="21"/>
          <w:lang w:val="en-US" w:eastAsia="zh-CN" w:bidi="ar-SA"/>
        </w:rPr>
      </w:pPr>
      <w:bookmarkStart w:id="24" w:name="_Toc26718931"/>
      <w:bookmarkStart w:id="25" w:name="_Toc118880703"/>
      <w:bookmarkStart w:id="26" w:name="_Toc26986772"/>
      <w:bookmarkStart w:id="27" w:name="_Toc26986531"/>
      <w:bookmarkStart w:id="28" w:name="_Toc118880401"/>
      <w:r>
        <w:rPr>
          <w:rFonts w:hint="eastAsia" w:ascii="黑体" w:hAnsi="Times New Roman" w:eastAsia="黑体" w:cs="Times New Roman"/>
          <w:sz w:val="21"/>
          <w:lang w:val="en-US" w:eastAsia="zh-CN" w:bidi="ar-SA"/>
        </w:rPr>
        <w:t>规范性引用文件</w:t>
      </w:r>
      <w:bookmarkEnd w:id="19"/>
      <w:bookmarkEnd w:id="20"/>
      <w:bookmarkEnd w:id="21"/>
      <w:bookmarkEnd w:id="22"/>
      <w:bookmarkEnd w:id="23"/>
      <w:bookmarkEnd w:id="24"/>
      <w:bookmarkEnd w:id="25"/>
      <w:bookmarkEnd w:id="26"/>
      <w:bookmarkEnd w:id="27"/>
      <w:bookmarkEnd w:id="28"/>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下列文件中的内容通过文中的规范性引用而构成本文件必不可少的条款。其中，注日期的引用文件，仅该日期对应的版本适用于本文件；不注日期的引用文件，其最新版本（包括所有的修改单）适用于本文件。</w:t>
      </w:r>
    </w:p>
    <w:p>
      <w:pPr>
        <w:autoSpaceDE w:val="0"/>
        <w:autoSpaceDN w:val="0"/>
        <w:ind w:firstLine="420" w:firstLineChars="200"/>
        <w:jc w:val="both"/>
        <w:rPr>
          <w:rFonts w:ascii="Times New Roman" w:hAnsi="Times New Roman" w:eastAsia="宋体" w:cs="Times New Roman"/>
          <w:sz w:val="21"/>
          <w:lang w:val="en-US" w:eastAsia="zh-CN" w:bidi="ar-SA"/>
        </w:rPr>
      </w:pPr>
      <w:r>
        <w:rPr>
          <w:rFonts w:ascii="Times New Roman" w:hAnsi="Times New Roman" w:eastAsia="宋体" w:cs="Times New Roman"/>
          <w:sz w:val="21"/>
          <w:lang w:val="en-US" w:eastAsia="zh-CN" w:bidi="ar-SA"/>
        </w:rPr>
        <w:t>GB/T 29639   生产经营单位生产安全事故应急预案编制导则</w:t>
      </w:r>
    </w:p>
    <w:p>
      <w:pPr>
        <w:autoSpaceDE w:val="0"/>
        <w:autoSpaceDN w:val="0"/>
        <w:ind w:firstLine="420" w:firstLineChars="200"/>
        <w:jc w:val="both"/>
        <w:rPr>
          <w:rFonts w:ascii="宋体" w:hAnsi="Times New Roman" w:eastAsia="宋体" w:cs="Times New Roman"/>
          <w:sz w:val="21"/>
          <w:lang w:val="en-US" w:eastAsia="zh-CN" w:bidi="ar-SA"/>
        </w:rPr>
      </w:pPr>
      <w:r>
        <w:rPr>
          <w:rFonts w:ascii="Times New Roman" w:hAnsi="Times New Roman" w:eastAsia="宋体" w:cs="Times New Roman"/>
          <w:sz w:val="21"/>
          <w:lang w:val="en-US" w:eastAsia="zh-CN" w:bidi="ar-SA"/>
        </w:rPr>
        <w:t>AQ/T 9007</w:t>
      </w:r>
      <w:r>
        <w:rPr>
          <w:rFonts w:hint="eastAsia" w:ascii="宋体" w:hAnsi="Times New Roman" w:eastAsia="宋体" w:cs="Times New Roman"/>
          <w:sz w:val="21"/>
          <w:lang w:val="en-US" w:eastAsia="zh-CN" w:bidi="ar-SA"/>
        </w:rPr>
        <w:t xml:space="preserve">    生产安全事故应急演练基本规范</w:t>
      </w:r>
    </w:p>
    <w:p>
      <w:pPr>
        <w:autoSpaceDE w:val="0"/>
        <w:autoSpaceDN w:val="0"/>
        <w:ind w:firstLine="420" w:firstLineChars="200"/>
        <w:jc w:val="both"/>
        <w:rPr>
          <w:rFonts w:ascii="宋体" w:hAnsi="Times New Roman" w:eastAsia="宋体" w:cs="Times New Roman"/>
          <w:sz w:val="21"/>
          <w:lang w:val="en-US" w:eastAsia="zh-CN" w:bidi="ar-SA"/>
        </w:rPr>
      </w:pPr>
      <w:r>
        <w:rPr>
          <w:rFonts w:ascii="Times New Roman" w:hAnsi="Times New Roman" w:eastAsia="宋体" w:cs="Times New Roman"/>
          <w:sz w:val="21"/>
          <w:lang w:val="en-US" w:eastAsia="zh-CN" w:bidi="ar-SA"/>
        </w:rPr>
        <w:t>AQ/T 900</w:t>
      </w:r>
      <w:r>
        <w:rPr>
          <w:rFonts w:hint="eastAsia" w:ascii="Times New Roman" w:hAnsi="Times New Roman" w:eastAsia="宋体" w:cs="Times New Roman"/>
          <w:sz w:val="21"/>
          <w:lang w:val="en-US" w:eastAsia="zh-CN" w:bidi="ar-SA"/>
        </w:rPr>
        <w:t>9</w:t>
      </w:r>
      <w:r>
        <w:rPr>
          <w:rFonts w:hint="eastAsia" w:ascii="宋体" w:hAnsi="Times New Roman" w:eastAsia="宋体" w:cs="Times New Roman"/>
          <w:sz w:val="21"/>
          <w:lang w:val="en-US" w:eastAsia="zh-CN" w:bidi="ar-SA"/>
        </w:rPr>
        <w:t xml:space="preserve">    生产安全事故应急演练评估规范</w:t>
      </w:r>
    </w:p>
    <w:p>
      <w:pPr>
        <w:keepNext w:val="0"/>
        <w:keepLines w:val="0"/>
        <w:pageBreakBefore w:val="0"/>
        <w:widowControl w:val="0"/>
        <w:numPr>
          <w:ilvl w:val="1"/>
          <w:numId w:val="7"/>
        </w:numPr>
        <w:kinsoku/>
        <w:wordWrap/>
        <w:overflowPunct/>
        <w:topLinePunct w:val="0"/>
        <w:autoSpaceDE/>
        <w:autoSpaceDN/>
        <w:bidi w:val="0"/>
        <w:adjustRightInd/>
        <w:snapToGrid/>
        <w:spacing w:before="312" w:beforeLines="100" w:after="312" w:afterLines="100"/>
        <w:ind w:left="0" w:firstLine="0"/>
        <w:jc w:val="left"/>
        <w:textAlignment w:val="auto"/>
        <w:outlineLvl w:val="0"/>
        <w:rPr>
          <w:rFonts w:ascii="黑体" w:hAnsi="Times New Roman" w:eastAsia="黑体" w:cs="Times New Roman"/>
          <w:sz w:val="21"/>
          <w:lang w:val="en-US" w:eastAsia="zh-CN" w:bidi="ar-SA"/>
        </w:rPr>
      </w:pPr>
      <w:bookmarkStart w:id="29" w:name="_Toc118880402"/>
      <w:bookmarkStart w:id="30" w:name="_Toc118880704"/>
      <w:r>
        <w:rPr>
          <w:rFonts w:hint="eastAsia" w:ascii="黑体" w:hAnsi="Times New Roman" w:eastAsia="黑体" w:cs="Times New Roman"/>
          <w:sz w:val="21"/>
          <w:lang w:val="en-US" w:eastAsia="zh-CN" w:bidi="ar-SA"/>
        </w:rPr>
        <w:t>术语和定义</w:t>
      </w:r>
      <w:bookmarkEnd w:id="29"/>
      <w:bookmarkEnd w:id="30"/>
    </w:p>
    <w:p>
      <w:pPr>
        <w:autoSpaceDE w:val="0"/>
        <w:autoSpaceDN w:val="0"/>
        <w:ind w:firstLine="420" w:firstLineChars="200"/>
        <w:jc w:val="both"/>
        <w:rPr>
          <w:rFonts w:ascii="宋体" w:hAnsi="Times New Roman" w:eastAsia="宋体" w:cs="Times New Roman"/>
          <w:sz w:val="21"/>
          <w:lang w:val="en-US" w:eastAsia="zh-CN" w:bidi="ar-SA"/>
        </w:rPr>
      </w:pPr>
      <w:bookmarkStart w:id="31" w:name="_Toc26986532"/>
      <w:bookmarkEnd w:id="31"/>
      <w:r>
        <w:rPr>
          <w:rFonts w:ascii="宋体" w:hAnsi="Times New Roman" w:eastAsia="宋体" w:cs="Times New Roman"/>
          <w:sz w:val="21"/>
          <w:lang w:val="en-US" w:eastAsia="zh-CN" w:bidi="ar-SA"/>
        </w:rPr>
        <w:t>下列术语和定义适用于本文件。</w:t>
      </w:r>
    </w:p>
    <w:p>
      <w:pPr>
        <w:numPr>
          <w:ilvl w:val="2"/>
          <w:numId w:val="7"/>
        </w:numPr>
        <w:spacing w:before="156" w:beforeLines="50" w:after="156" w:afterLines="50"/>
        <w:jc w:val="both"/>
        <w:outlineLvl w:val="9"/>
        <w:rPr>
          <w:rFonts w:ascii="黑体" w:hAnsi="Times New Roman" w:eastAsia="黑体" w:cs="Times New Roman"/>
          <w:sz w:val="21"/>
          <w:lang w:val="en-US" w:eastAsia="zh-CN" w:bidi="ar-SA"/>
        </w:rPr>
      </w:pPr>
      <w:bookmarkStart w:id="32" w:name="_Toc80869746"/>
      <w:bookmarkEnd w:id="32"/>
      <w:bookmarkStart w:id="33" w:name="_Toc74216818"/>
      <w:bookmarkEnd w:id="33"/>
      <w:bookmarkStart w:id="34" w:name="_Toc118880405"/>
      <w:bookmarkEnd w:id="34"/>
      <w:bookmarkStart w:id="35" w:name="_Toc81406805"/>
      <w:bookmarkEnd w:id="35"/>
      <w:bookmarkStart w:id="36" w:name="_Toc80869748"/>
      <w:bookmarkEnd w:id="36"/>
      <w:bookmarkStart w:id="37" w:name="_Toc74216856"/>
      <w:bookmarkEnd w:id="37"/>
      <w:bookmarkStart w:id="38" w:name="_Toc81406837"/>
      <w:bookmarkEnd w:id="38"/>
      <w:bookmarkStart w:id="39" w:name="_Toc69116519"/>
      <w:bookmarkEnd w:id="39"/>
      <w:bookmarkStart w:id="40" w:name="_Toc69116521"/>
      <w:bookmarkEnd w:id="40"/>
      <w:bookmarkStart w:id="41" w:name="_Toc118880403"/>
      <w:bookmarkEnd w:id="41"/>
      <w:bookmarkStart w:id="42" w:name="_Toc80692159"/>
      <w:bookmarkEnd w:id="42"/>
      <w:bookmarkStart w:id="43" w:name="_Toc81406803"/>
      <w:bookmarkEnd w:id="43"/>
      <w:bookmarkStart w:id="44" w:name="_Toc74216816"/>
      <w:bookmarkEnd w:id="44"/>
      <w:bookmarkStart w:id="45" w:name="_Toc74217065"/>
      <w:bookmarkEnd w:id="45"/>
      <w:bookmarkStart w:id="46" w:name="_Toc81406839"/>
      <w:bookmarkEnd w:id="46"/>
      <w:bookmarkStart w:id="47" w:name="_Toc74217067"/>
      <w:bookmarkEnd w:id="47"/>
      <w:bookmarkStart w:id="48" w:name="_Toc61420125"/>
      <w:bookmarkEnd w:id="48"/>
      <w:bookmarkStart w:id="49" w:name="_Toc74216854"/>
      <w:bookmarkEnd w:id="49"/>
      <w:bookmarkStart w:id="50" w:name="_Toc80692161"/>
      <w:bookmarkEnd w:id="50"/>
      <w:bookmarkStart w:id="51" w:name="_Toc61420123"/>
      <w:bookmarkEnd w:id="51"/>
    </w:p>
    <w:p>
      <w:pPr>
        <w:numPr>
          <w:ilvl w:val="0"/>
          <w:numId w:val="0"/>
        </w:numPr>
        <w:spacing w:before="156" w:beforeLines="50" w:after="156" w:afterLines="50"/>
        <w:ind w:firstLine="424" w:firstLineChars="202"/>
        <w:jc w:val="both"/>
        <w:outlineLvl w:val="9"/>
        <w:rPr>
          <w:rFonts w:ascii="黑体" w:hAnsi="Times New Roman" w:eastAsia="黑体" w:cs="Times New Roman"/>
          <w:sz w:val="21"/>
          <w:lang w:val="en-US" w:eastAsia="zh-CN" w:bidi="ar-SA"/>
        </w:rPr>
      </w:pPr>
      <w:bookmarkStart w:id="52" w:name="_Toc69116524"/>
      <w:bookmarkStart w:id="53" w:name="_Toc80869751"/>
      <w:bookmarkStart w:id="54" w:name="_Toc74216821"/>
      <w:bookmarkStart w:id="55" w:name="_Toc74216859"/>
      <w:bookmarkStart w:id="56" w:name="_Toc61420128"/>
      <w:bookmarkStart w:id="57" w:name="_Toc81406808"/>
      <w:bookmarkStart w:id="58" w:name="_Toc81406842"/>
      <w:bookmarkStart w:id="59" w:name="_Toc118880408"/>
      <w:bookmarkStart w:id="60" w:name="_Toc74217070"/>
      <w:bookmarkStart w:id="61" w:name="_Toc80692164"/>
      <w:r>
        <w:rPr>
          <w:rFonts w:hint="eastAsia" w:ascii="黑体" w:hAnsi="Times New Roman" w:eastAsia="黑体" w:cs="Times New Roman"/>
          <w:sz w:val="21"/>
          <w:lang w:val="en-US" w:eastAsia="zh-CN" w:bidi="ar-SA"/>
        </w:rPr>
        <w:t xml:space="preserve">应急救援评估  </w:t>
      </w:r>
      <w:r>
        <w:rPr>
          <w:rFonts w:ascii="黑体" w:hAnsi="Times New Roman" w:eastAsia="黑体" w:cs="Times New Roman"/>
          <w:sz w:val="21"/>
          <w:lang w:val="en-US" w:eastAsia="zh-CN" w:bidi="ar-SA"/>
        </w:rPr>
        <w:t>emergency rescue assessment</w:t>
      </w:r>
      <w:bookmarkEnd w:id="52"/>
      <w:bookmarkEnd w:id="53"/>
      <w:bookmarkEnd w:id="54"/>
      <w:bookmarkEnd w:id="55"/>
      <w:bookmarkEnd w:id="56"/>
      <w:bookmarkEnd w:id="57"/>
      <w:bookmarkEnd w:id="58"/>
      <w:bookmarkEnd w:id="59"/>
      <w:bookmarkEnd w:id="60"/>
      <w:bookmarkEnd w:id="61"/>
    </w:p>
    <w:p>
      <w:pPr>
        <w:autoSpaceDE w:val="0"/>
        <w:autoSpaceDN w:val="0"/>
        <w:ind w:firstLine="420" w:firstLineChars="200"/>
        <w:jc w:val="both"/>
        <w:rPr>
          <w:rFonts w:ascii="宋体" w:hAnsi="宋体" w:eastAsia="宋体" w:cs="Times New Roman"/>
          <w:sz w:val="21"/>
          <w:lang w:val="en-US" w:eastAsia="zh-CN" w:bidi="ar-SA"/>
        </w:rPr>
      </w:pPr>
      <w:r>
        <w:rPr>
          <w:rFonts w:hint="eastAsia" w:ascii="宋体" w:hAnsi="宋体" w:eastAsia="宋体" w:cs="Times New Roman"/>
          <w:sz w:val="21"/>
          <w:lang w:val="en-US" w:eastAsia="zh-CN" w:bidi="ar-SA"/>
        </w:rPr>
        <w:t>围绕</w:t>
      </w:r>
      <w:r>
        <w:rPr>
          <w:rFonts w:hint="eastAsia" w:ascii="宋体" w:hAnsi="Times New Roman" w:eastAsia="宋体" w:cs="Times New Roman"/>
          <w:sz w:val="21"/>
          <w:lang w:val="en-US" w:eastAsia="zh-CN" w:bidi="ar-SA"/>
        </w:rPr>
        <w:t>事故发生单位及事故涉及的单位（以下简称事故单位）</w:t>
      </w:r>
      <w:r>
        <w:rPr>
          <w:rFonts w:hint="eastAsia" w:ascii="宋体" w:hAnsi="宋体" w:eastAsia="宋体" w:cs="Times New Roman"/>
          <w:sz w:val="21"/>
          <w:lang w:val="en-US" w:eastAsia="zh-CN" w:bidi="ar-SA"/>
        </w:rPr>
        <w:t>、事发地人民政府及参与处置和救援的部门、单位在应急准备、事故发生前预警、应急响应、应急处置、应急保障以及其他应急救援工作，分析事故特点及救援过程、做法，总结应急救援的成功经验和问题缺陷，针对应急救援全过程做出评估结论，提出评估意见。</w:t>
      </w:r>
    </w:p>
    <w:p>
      <w:pPr>
        <w:numPr>
          <w:ilvl w:val="2"/>
          <w:numId w:val="7"/>
        </w:numPr>
        <w:spacing w:before="156" w:beforeLines="50" w:after="156" w:afterLines="50"/>
        <w:jc w:val="both"/>
        <w:outlineLvl w:val="9"/>
        <w:rPr>
          <w:rFonts w:ascii="黑体" w:hAnsi="宋体" w:eastAsia="黑体" w:cs="Times New Roman"/>
          <w:sz w:val="21"/>
          <w:lang w:val="en-US" w:eastAsia="zh-CN" w:bidi="ar-SA"/>
        </w:rPr>
      </w:pPr>
      <w:bookmarkStart w:id="62" w:name="_Toc69116526"/>
      <w:bookmarkEnd w:id="62"/>
      <w:bookmarkStart w:id="63" w:name="_Toc80869752"/>
      <w:bookmarkEnd w:id="63"/>
      <w:bookmarkStart w:id="64" w:name="_Toc69116525"/>
      <w:bookmarkEnd w:id="64"/>
      <w:bookmarkStart w:id="65" w:name="_Toc74216860"/>
      <w:bookmarkEnd w:id="65"/>
      <w:bookmarkStart w:id="66" w:name="_Toc118880409"/>
      <w:bookmarkEnd w:id="66"/>
      <w:bookmarkStart w:id="67" w:name="_Toc74217071"/>
      <w:bookmarkEnd w:id="67"/>
      <w:bookmarkStart w:id="68" w:name="_Toc81406843"/>
      <w:bookmarkEnd w:id="68"/>
      <w:bookmarkStart w:id="69" w:name="_Toc80692165"/>
      <w:bookmarkEnd w:id="69"/>
      <w:bookmarkStart w:id="70" w:name="_Toc81406809"/>
      <w:bookmarkEnd w:id="70"/>
      <w:bookmarkStart w:id="71" w:name="_Toc74216822"/>
      <w:bookmarkEnd w:id="71"/>
    </w:p>
    <w:p>
      <w:pPr>
        <w:numPr>
          <w:ilvl w:val="0"/>
          <w:numId w:val="0"/>
        </w:numPr>
        <w:spacing w:before="156" w:beforeLines="50" w:after="156" w:afterLines="50"/>
        <w:ind w:firstLine="424" w:firstLineChars="202"/>
        <w:jc w:val="both"/>
        <w:outlineLvl w:val="9"/>
        <w:rPr>
          <w:rFonts w:ascii="黑体" w:hAnsi="Times New Roman" w:eastAsia="黑体" w:cs="Times New Roman"/>
          <w:sz w:val="21"/>
          <w:lang w:val="en-US" w:eastAsia="zh-CN" w:bidi="ar-SA"/>
        </w:rPr>
      </w:pPr>
      <w:bookmarkStart w:id="72" w:name="_Toc74216861"/>
      <w:bookmarkStart w:id="73" w:name="_Toc118880410"/>
      <w:bookmarkStart w:id="74" w:name="_Toc69116527"/>
      <w:bookmarkStart w:id="75" w:name="_Toc81406844"/>
      <w:bookmarkStart w:id="76" w:name="_Toc81406810"/>
      <w:bookmarkStart w:id="77" w:name="_Toc74217072"/>
      <w:bookmarkStart w:id="78" w:name="_Toc80692166"/>
      <w:bookmarkStart w:id="79" w:name="_Toc80869753"/>
      <w:bookmarkStart w:id="80" w:name="_Toc74216823"/>
      <w:r>
        <w:rPr>
          <w:rFonts w:hint="eastAsia" w:ascii="黑体" w:hAnsi="Times New Roman" w:eastAsia="黑体" w:cs="Times New Roman"/>
          <w:sz w:val="21"/>
          <w:lang w:val="en-US" w:eastAsia="zh-CN" w:bidi="ar-SA"/>
        </w:rPr>
        <w:t xml:space="preserve">应急预案 </w:t>
      </w:r>
      <w:r>
        <w:rPr>
          <w:rFonts w:ascii="黑体" w:hAnsi="Times New Roman" w:eastAsia="黑体" w:cs="Times New Roman"/>
          <w:sz w:val="21"/>
          <w:lang w:val="en-US" w:eastAsia="zh-CN" w:bidi="ar-SA"/>
        </w:rPr>
        <w:t>emergency response</w:t>
      </w:r>
      <w:r>
        <w:rPr>
          <w:rFonts w:hint="eastAsia" w:ascii="黑体" w:hAnsi="Times New Roman" w:eastAsia="黑体" w:cs="Times New Roman"/>
          <w:sz w:val="21"/>
          <w:lang w:val="en-US" w:eastAsia="zh-CN" w:bidi="ar-SA"/>
        </w:rPr>
        <w:t xml:space="preserve"> plan</w:t>
      </w:r>
      <w:bookmarkEnd w:id="72"/>
      <w:bookmarkEnd w:id="73"/>
      <w:bookmarkEnd w:id="74"/>
      <w:bookmarkEnd w:id="75"/>
      <w:bookmarkEnd w:id="76"/>
      <w:bookmarkEnd w:id="77"/>
      <w:bookmarkEnd w:id="78"/>
      <w:bookmarkEnd w:id="79"/>
      <w:bookmarkEnd w:id="80"/>
    </w:p>
    <w:p>
      <w:pPr>
        <w:autoSpaceDE w:val="0"/>
        <w:autoSpaceDN w:val="0"/>
        <w:ind w:firstLine="420" w:firstLineChars="200"/>
        <w:jc w:val="both"/>
        <w:rPr>
          <w:rFonts w:ascii="宋体" w:hAnsi="宋体" w:eastAsia="宋体" w:cs="Times New Roman"/>
          <w:sz w:val="21"/>
          <w:lang w:val="en-US" w:eastAsia="zh-CN" w:bidi="ar-SA"/>
        </w:rPr>
      </w:pPr>
      <w:r>
        <w:rPr>
          <w:rFonts w:hint="eastAsia" w:ascii="宋体" w:hAnsi="宋体" w:eastAsia="宋体" w:cs="Times New Roman"/>
          <w:sz w:val="21"/>
          <w:lang w:val="en-US" w:eastAsia="zh-CN" w:bidi="ar-SA"/>
        </w:rPr>
        <w:t>针对可能发生的事故，为最大程度减少事故损害而预先制定的应急准备工作方案。</w:t>
      </w:r>
    </w:p>
    <w:p>
      <w:pPr>
        <w:autoSpaceDE w:val="0"/>
        <w:autoSpaceDN w:val="0"/>
        <w:ind w:firstLine="420" w:firstLineChars="200"/>
        <w:jc w:val="both"/>
        <w:rPr>
          <w:rFonts w:ascii="黑体" w:hAnsi="Times New Roman" w:eastAsia="黑体" w:cs="Times New Roman"/>
          <w:sz w:val="21"/>
          <w:lang w:val="en-US" w:eastAsia="zh-CN" w:bidi="ar-SA"/>
        </w:rPr>
      </w:pPr>
      <w:r>
        <w:rPr>
          <w:rFonts w:hint="eastAsia" w:ascii="宋体" w:hAnsi="宋体" w:eastAsia="宋体" w:cs="Times New Roman"/>
          <w:sz w:val="21"/>
          <w:lang w:val="en-US" w:eastAsia="zh-CN" w:bidi="ar-SA"/>
        </w:rPr>
        <w:t>[来源：GB/T 29639—2020，3.1]</w:t>
      </w:r>
    </w:p>
    <w:p>
      <w:pPr>
        <w:keepNext w:val="0"/>
        <w:keepLines w:val="0"/>
        <w:pageBreakBefore w:val="0"/>
        <w:widowControl w:val="0"/>
        <w:numPr>
          <w:ilvl w:val="1"/>
          <w:numId w:val="7"/>
        </w:numPr>
        <w:kinsoku/>
        <w:wordWrap/>
        <w:overflowPunct/>
        <w:topLinePunct w:val="0"/>
        <w:autoSpaceDE/>
        <w:autoSpaceDN/>
        <w:bidi w:val="0"/>
        <w:adjustRightInd/>
        <w:snapToGrid/>
        <w:spacing w:before="312" w:beforeLines="100" w:after="312" w:afterLines="100"/>
        <w:ind w:left="0" w:firstLine="0"/>
        <w:jc w:val="left"/>
        <w:textAlignment w:val="auto"/>
        <w:outlineLvl w:val="0"/>
        <w:rPr>
          <w:rFonts w:ascii="黑体" w:hAnsi="Times New Roman" w:eastAsia="黑体" w:cs="Times New Roman"/>
          <w:sz w:val="21"/>
          <w:lang w:val="en-US" w:eastAsia="zh-CN" w:bidi="ar-SA"/>
        </w:rPr>
      </w:pPr>
      <w:bookmarkStart w:id="81" w:name="_Toc69116528"/>
      <w:bookmarkEnd w:id="81"/>
      <w:bookmarkStart w:id="82" w:name="_Toc80692167"/>
      <w:bookmarkEnd w:id="82"/>
      <w:bookmarkStart w:id="83" w:name="_Toc80869756"/>
      <w:bookmarkEnd w:id="83"/>
      <w:bookmarkStart w:id="84" w:name="_Toc74216862"/>
      <w:bookmarkEnd w:id="84"/>
      <w:bookmarkStart w:id="85" w:name="_Toc74217073"/>
      <w:bookmarkEnd w:id="85"/>
      <w:bookmarkStart w:id="86" w:name="_Toc80869754"/>
      <w:bookmarkEnd w:id="86"/>
      <w:bookmarkStart w:id="87" w:name="_Toc80869755"/>
      <w:bookmarkEnd w:id="87"/>
      <w:bookmarkStart w:id="88" w:name="_Toc74216824"/>
      <w:bookmarkEnd w:id="88"/>
      <w:bookmarkStart w:id="89" w:name="_Toc118880705"/>
      <w:bookmarkStart w:id="90" w:name="_Toc118880411"/>
      <w:r>
        <w:rPr>
          <w:rFonts w:hint="eastAsia" w:ascii="黑体" w:hAnsi="Times New Roman" w:eastAsia="黑体" w:cs="Times New Roman"/>
          <w:sz w:val="21"/>
          <w:lang w:val="en-US" w:eastAsia="zh-CN" w:bidi="ar-SA"/>
        </w:rPr>
        <w:t>基本要求</w:t>
      </w:r>
      <w:bookmarkEnd w:id="89"/>
      <w:bookmarkEnd w:id="90"/>
    </w:p>
    <w:p>
      <w:pPr>
        <w:numPr>
          <w:ilvl w:val="2"/>
          <w:numId w:val="7"/>
        </w:numPr>
        <w:spacing w:before="156" w:beforeLines="50" w:after="156" w:afterLines="50"/>
        <w:ind w:left="0" w:firstLine="0"/>
        <w:jc w:val="both"/>
        <w:outlineLvl w:val="1"/>
        <w:rPr>
          <w:rFonts w:ascii="黑体" w:hAnsi="Times New Roman" w:eastAsia="黑体" w:cs="Times New Roman"/>
          <w:sz w:val="21"/>
          <w:lang w:val="en-US" w:eastAsia="zh-CN" w:bidi="ar-SA"/>
        </w:rPr>
      </w:pPr>
      <w:bookmarkStart w:id="91" w:name="_Toc74216865"/>
      <w:bookmarkStart w:id="92" w:name="_Toc74217076"/>
      <w:bookmarkStart w:id="93" w:name="_Toc81406812"/>
      <w:bookmarkStart w:id="94" w:name="_Toc80869758"/>
      <w:bookmarkStart w:id="95" w:name="_Toc118880412"/>
      <w:bookmarkStart w:id="96" w:name="_Toc61420130"/>
      <w:bookmarkStart w:id="97" w:name="_Toc69116531"/>
      <w:bookmarkStart w:id="98" w:name="_Toc118880706"/>
      <w:bookmarkStart w:id="99" w:name="_Toc74216827"/>
      <w:bookmarkStart w:id="100" w:name="_Toc80692170"/>
      <w:bookmarkStart w:id="101" w:name="_Toc81406846"/>
      <w:r>
        <w:rPr>
          <w:rFonts w:hint="eastAsia" w:ascii="黑体" w:hAnsi="Times New Roman" w:eastAsia="黑体" w:cs="Times New Roman"/>
          <w:sz w:val="21"/>
          <w:lang w:val="en-US" w:eastAsia="zh-CN" w:bidi="ar-SA"/>
        </w:rPr>
        <w:t>评估</w:t>
      </w:r>
      <w:bookmarkEnd w:id="91"/>
      <w:bookmarkEnd w:id="92"/>
      <w:bookmarkEnd w:id="93"/>
      <w:bookmarkEnd w:id="94"/>
      <w:bookmarkEnd w:id="95"/>
      <w:bookmarkEnd w:id="96"/>
      <w:bookmarkEnd w:id="97"/>
      <w:bookmarkEnd w:id="98"/>
      <w:bookmarkEnd w:id="99"/>
      <w:bookmarkEnd w:id="100"/>
      <w:bookmarkEnd w:id="101"/>
      <w:r>
        <w:rPr>
          <w:rFonts w:hint="eastAsia" w:ascii="黑体" w:hAnsi="Times New Roman" w:eastAsia="黑体" w:cs="Times New Roman"/>
          <w:sz w:val="21"/>
          <w:lang w:val="en-US" w:eastAsia="zh-CN" w:bidi="ar-SA"/>
        </w:rPr>
        <w:t>目的</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通过评估发现应急救援过程中存在的问题或不足，提出改进意见或建议，并总结应急救援中好的做法和主要优点，进而吸取经验教训，持续提高事故应急救援能力。</w:t>
      </w:r>
    </w:p>
    <w:p>
      <w:pPr>
        <w:numPr>
          <w:ilvl w:val="2"/>
          <w:numId w:val="7"/>
        </w:numPr>
        <w:spacing w:before="156" w:beforeLines="50" w:after="156" w:afterLines="50"/>
        <w:ind w:left="0"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评估对象</w:t>
      </w:r>
    </w:p>
    <w:p>
      <w:pPr>
        <w:tabs>
          <w:tab w:val="center" w:pos="4677"/>
        </w:tabs>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事故单位、事发地人民政府及参与处置和救援的部门、单位。</w:t>
      </w:r>
    </w:p>
    <w:p>
      <w:pPr>
        <w:numPr>
          <w:ilvl w:val="2"/>
          <w:numId w:val="7"/>
        </w:numPr>
        <w:spacing w:before="156" w:beforeLines="50" w:after="156" w:afterLines="50"/>
        <w:ind w:left="0" w:firstLine="0"/>
        <w:jc w:val="both"/>
        <w:outlineLvl w:val="1"/>
        <w:rPr>
          <w:rFonts w:ascii="黑体" w:hAnsi="Times New Roman" w:eastAsia="黑体" w:cs="Times New Roman"/>
          <w:sz w:val="21"/>
          <w:lang w:val="en-US" w:eastAsia="zh-CN" w:bidi="ar-SA"/>
        </w:rPr>
      </w:pPr>
      <w:bookmarkStart w:id="102" w:name="_Toc69116532"/>
      <w:bookmarkEnd w:id="102"/>
      <w:bookmarkStart w:id="103" w:name="_Toc80869759"/>
      <w:bookmarkEnd w:id="103"/>
      <w:bookmarkStart w:id="104" w:name="_Toc69116533"/>
      <w:bookmarkStart w:id="105" w:name="_Toc81406847"/>
      <w:bookmarkStart w:id="106" w:name="_Toc61420131"/>
      <w:bookmarkStart w:id="107" w:name="_Toc81406813"/>
      <w:bookmarkStart w:id="108" w:name="_Toc74216828"/>
      <w:bookmarkStart w:id="109" w:name="_Toc80692171"/>
      <w:bookmarkStart w:id="110" w:name="_Toc80869760"/>
      <w:bookmarkStart w:id="111" w:name="_Toc118880413"/>
      <w:bookmarkStart w:id="112" w:name="_Toc74216866"/>
      <w:bookmarkStart w:id="113" w:name="_Toc74217077"/>
      <w:bookmarkStart w:id="114" w:name="_Toc118880707"/>
      <w:r>
        <w:rPr>
          <w:rFonts w:hint="eastAsia" w:ascii="黑体" w:hAnsi="Times New Roman" w:eastAsia="黑体" w:cs="Times New Roman"/>
          <w:sz w:val="21"/>
          <w:lang w:val="en-US" w:eastAsia="zh-CN" w:bidi="ar-SA"/>
        </w:rPr>
        <w:t>评估依据</w:t>
      </w:r>
      <w:bookmarkEnd w:id="104"/>
      <w:bookmarkEnd w:id="105"/>
      <w:bookmarkEnd w:id="106"/>
      <w:bookmarkEnd w:id="107"/>
      <w:bookmarkEnd w:id="108"/>
      <w:bookmarkEnd w:id="109"/>
      <w:bookmarkEnd w:id="110"/>
      <w:bookmarkEnd w:id="111"/>
      <w:bookmarkEnd w:id="112"/>
      <w:bookmarkEnd w:id="113"/>
      <w:bookmarkEnd w:id="114"/>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主要依据包括以下内容：</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有关法律、法规、规章、标准和</w:t>
      </w:r>
      <w:r>
        <w:rPr>
          <w:rFonts w:ascii="宋体" w:hAnsi="Times New Roman" w:eastAsia="宋体" w:cs="Times New Roman"/>
          <w:sz w:val="21"/>
          <w:lang w:val="en-US" w:eastAsia="zh-CN" w:bidi="ar-SA"/>
        </w:rPr>
        <w:t>规</w:t>
      </w:r>
      <w:r>
        <w:rPr>
          <w:rFonts w:hint="eastAsia" w:ascii="宋体" w:hAnsi="Times New Roman" w:eastAsia="宋体" w:cs="Times New Roman"/>
          <w:sz w:val="21"/>
          <w:lang w:val="en-US" w:eastAsia="zh-CN" w:bidi="ar-SA"/>
        </w:rPr>
        <w:t>范性文件；</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事故单位和事发地人民政府应急预案；</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事故音像资料、救援过程中视频记录资料；</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事故调查过程中涉及的谈话及询问笔录；</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事故救援过程产生的物证及现场勘查取得的资料；</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信息接收、报送原始记录；</w:t>
      </w:r>
    </w:p>
    <w:p>
      <w:pPr>
        <w:numPr>
          <w:ilvl w:val="0"/>
          <w:numId w:val="2"/>
        </w:numPr>
        <w:tabs>
          <w:tab w:val="left" w:pos="2400"/>
        </w:tabs>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专家论证、技术鉴定意见。</w:t>
      </w:r>
    </w:p>
    <w:p>
      <w:pPr>
        <w:numPr>
          <w:ilvl w:val="2"/>
          <w:numId w:val="7"/>
        </w:numPr>
        <w:spacing w:before="156" w:beforeLines="50" w:after="156" w:afterLines="50"/>
        <w:ind w:left="0" w:firstLine="0"/>
        <w:jc w:val="both"/>
        <w:outlineLvl w:val="1"/>
        <w:rPr>
          <w:rFonts w:ascii="黑体" w:hAnsi="Times New Roman" w:eastAsia="黑体" w:cs="Times New Roman"/>
          <w:sz w:val="21"/>
          <w:lang w:val="en-US" w:eastAsia="zh-CN" w:bidi="ar-SA"/>
        </w:rPr>
      </w:pPr>
      <w:bookmarkStart w:id="115" w:name="_Toc80869761"/>
      <w:bookmarkEnd w:id="115"/>
      <w:bookmarkStart w:id="116" w:name="_Toc118880708"/>
      <w:bookmarkStart w:id="117" w:name="_Toc74217078"/>
      <w:bookmarkStart w:id="118" w:name="_Toc74216829"/>
      <w:bookmarkStart w:id="119" w:name="_Toc61420132"/>
      <w:bookmarkStart w:id="120" w:name="_Toc74216867"/>
      <w:bookmarkStart w:id="121" w:name="_Toc81406848"/>
      <w:bookmarkStart w:id="122" w:name="_Toc80869762"/>
      <w:bookmarkStart w:id="123" w:name="_Toc80692172"/>
      <w:bookmarkStart w:id="124" w:name="_Toc81406814"/>
      <w:bookmarkStart w:id="125" w:name="_Toc69116534"/>
      <w:bookmarkStart w:id="126" w:name="_Toc118880414"/>
      <w:r>
        <w:rPr>
          <w:rFonts w:hint="eastAsia" w:ascii="黑体" w:hAnsi="Times New Roman" w:eastAsia="黑体" w:cs="Times New Roman"/>
          <w:sz w:val="21"/>
          <w:lang w:val="en-US" w:eastAsia="zh-CN" w:bidi="ar-SA"/>
        </w:rPr>
        <w:t>评估原则</w:t>
      </w:r>
      <w:bookmarkEnd w:id="116"/>
      <w:bookmarkEnd w:id="117"/>
      <w:bookmarkEnd w:id="118"/>
      <w:bookmarkEnd w:id="119"/>
      <w:bookmarkEnd w:id="120"/>
      <w:bookmarkEnd w:id="121"/>
      <w:bookmarkEnd w:id="122"/>
      <w:bookmarkEnd w:id="123"/>
      <w:bookmarkEnd w:id="124"/>
      <w:bookmarkEnd w:id="125"/>
      <w:bookmarkEnd w:id="126"/>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评估工作应遵循科学严谨、依法依规、实事求是和注重实效的原则。</w:t>
      </w:r>
    </w:p>
    <w:p>
      <w:pPr>
        <w:numPr>
          <w:ilvl w:val="2"/>
          <w:numId w:val="7"/>
        </w:numPr>
        <w:spacing w:before="156" w:beforeLines="50" w:after="156" w:afterLines="50"/>
        <w:ind w:left="0" w:firstLine="0"/>
        <w:jc w:val="both"/>
        <w:outlineLvl w:val="1"/>
        <w:rPr>
          <w:rFonts w:ascii="黑体" w:hAnsi="Times New Roman" w:eastAsia="黑体" w:cs="Times New Roman"/>
          <w:sz w:val="21"/>
          <w:lang w:val="en-US" w:eastAsia="zh-CN" w:bidi="ar-SA"/>
        </w:rPr>
      </w:pPr>
      <w:bookmarkStart w:id="127" w:name="_Toc74217079"/>
      <w:bookmarkStart w:id="128" w:name="_Toc74216868"/>
      <w:bookmarkStart w:id="129" w:name="_Toc74216830"/>
      <w:bookmarkStart w:id="130" w:name="_Toc80869764"/>
      <w:bookmarkStart w:id="131" w:name="_Toc80692173"/>
      <w:bookmarkStart w:id="132" w:name="_Toc81406815"/>
      <w:bookmarkStart w:id="133" w:name="_Toc81406849"/>
      <w:bookmarkStart w:id="134" w:name="_Toc118880415"/>
      <w:bookmarkStart w:id="135" w:name="_Toc118880709"/>
      <w:r>
        <w:rPr>
          <w:rFonts w:hint="eastAsia" w:ascii="黑体" w:hAnsi="Times New Roman" w:eastAsia="黑体" w:cs="Times New Roman"/>
          <w:sz w:val="21"/>
          <w:lang w:val="en-US" w:eastAsia="zh-CN" w:bidi="ar-SA"/>
        </w:rPr>
        <w:t>评估</w:t>
      </w:r>
      <w:bookmarkEnd w:id="127"/>
      <w:bookmarkEnd w:id="128"/>
      <w:bookmarkEnd w:id="129"/>
      <w:bookmarkEnd w:id="130"/>
      <w:bookmarkEnd w:id="131"/>
      <w:r>
        <w:rPr>
          <w:rFonts w:hint="eastAsia" w:ascii="黑体" w:hAnsi="Times New Roman" w:eastAsia="黑体" w:cs="Times New Roman"/>
          <w:sz w:val="21"/>
          <w:lang w:val="en-US" w:eastAsia="zh-CN" w:bidi="ar-SA"/>
        </w:rPr>
        <w:t>方式</w:t>
      </w:r>
      <w:bookmarkEnd w:id="132"/>
      <w:bookmarkEnd w:id="133"/>
      <w:bookmarkEnd w:id="134"/>
      <w:bookmarkEnd w:id="135"/>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36" w:name="_Toc118880710"/>
      <w:r>
        <w:rPr>
          <w:rFonts w:hint="eastAsia" w:ascii="黑体" w:hAnsi="Times New Roman" w:eastAsia="黑体" w:cs="Times New Roman"/>
          <w:sz w:val="21"/>
          <w:lang w:val="en-US" w:eastAsia="zh-CN" w:bidi="ar-SA"/>
        </w:rPr>
        <w:t>资料分析</w:t>
      </w:r>
      <w:bookmarkEnd w:id="136"/>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通过生产安全事故应急救援文字材料、音像资料、总结材料和数据信息，真实还原事故发生和应急救援的全过程，分析应急救援的关键节点。</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询问谈话</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通过询问有关人员，听取事故单位、事发地人民政府应急救援现场指挥部及参与处置和救援的部门、应急救援队伍关于事故及应急救援情况说明，掌握事故应急救援的全过程，并做好询问笔录。</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37" w:name="_Toc118880712"/>
      <w:r>
        <w:rPr>
          <w:rFonts w:hint="eastAsia" w:ascii="黑体" w:hAnsi="Times New Roman" w:eastAsia="黑体" w:cs="Times New Roman"/>
          <w:sz w:val="21"/>
          <w:lang w:val="en-US" w:eastAsia="zh-CN" w:bidi="ar-SA"/>
        </w:rPr>
        <w:t>专家论证</w:t>
      </w:r>
      <w:bookmarkEnd w:id="137"/>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通过召开专家会议对事故应急救援过程中事故单位和事发地人民政府在</w:t>
      </w:r>
      <w:r>
        <w:rPr>
          <w:rFonts w:hint="eastAsia" w:ascii="宋体" w:hAnsi="宋体" w:eastAsia="宋体" w:cs="Times New Roman"/>
          <w:sz w:val="21"/>
          <w:lang w:val="en-US" w:eastAsia="zh-CN" w:bidi="ar-SA"/>
        </w:rPr>
        <w:t>事故发生前预警</w:t>
      </w:r>
      <w:r>
        <w:rPr>
          <w:rFonts w:hint="eastAsia" w:ascii="宋体" w:hAnsi="Times New Roman" w:eastAsia="宋体" w:cs="Times New Roman"/>
          <w:sz w:val="21"/>
          <w:lang w:val="en-US" w:eastAsia="zh-CN" w:bidi="ar-SA"/>
        </w:rPr>
        <w:t>、应急响应、应急处置等关键环节进行救援过程的论证。</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hint="eastAsia" w:ascii="黑体" w:hAnsi="Times New Roman" w:eastAsia="黑体" w:cs="Times New Roman"/>
          <w:sz w:val="21"/>
          <w:lang w:val="en-US" w:eastAsia="zh-CN" w:bidi="ar-SA"/>
        </w:rPr>
      </w:pPr>
      <w:bookmarkStart w:id="138" w:name="_Toc118880713"/>
      <w:r>
        <w:rPr>
          <w:rFonts w:hint="eastAsia" w:ascii="黑体" w:hAnsi="Times New Roman" w:eastAsia="黑体" w:cs="Times New Roman"/>
          <w:sz w:val="21"/>
          <w:lang w:val="en-US" w:eastAsia="zh-CN" w:bidi="ar-SA"/>
        </w:rPr>
        <w:t>现场勘查</w:t>
      </w:r>
      <w:bookmarkEnd w:id="138"/>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对事故救援现场勘验和检查，发现、固定、提取有关证据的过程。</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hint="eastAsia" w:ascii="黑体" w:hAnsi="Times New Roman" w:eastAsia="黑体" w:cs="Times New Roman"/>
          <w:sz w:val="21"/>
          <w:lang w:val="en-US" w:eastAsia="zh-CN" w:bidi="ar-SA"/>
        </w:rPr>
      </w:pPr>
      <w:bookmarkStart w:id="139" w:name="_Toc118880714"/>
      <w:r>
        <w:rPr>
          <w:rFonts w:hint="eastAsia" w:ascii="黑体" w:hAnsi="Times New Roman" w:eastAsia="黑体" w:cs="Times New Roman"/>
          <w:sz w:val="21"/>
          <w:lang w:val="en-US" w:eastAsia="zh-CN" w:bidi="ar-SA"/>
        </w:rPr>
        <w:t>技术鉴定</w:t>
      </w:r>
      <w:bookmarkEnd w:id="139"/>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委托专业机构对应急救援过程中物证及技术措施进行审查、测试和评价并作出结论。</w:t>
      </w:r>
    </w:p>
    <w:p>
      <w:pPr>
        <w:keepNext w:val="0"/>
        <w:keepLines w:val="0"/>
        <w:pageBreakBefore w:val="0"/>
        <w:widowControl/>
        <w:numPr>
          <w:ilvl w:val="1"/>
          <w:numId w:val="8"/>
        </w:numPr>
        <w:kinsoku/>
        <w:wordWrap/>
        <w:overflowPunct/>
        <w:topLinePunct w:val="0"/>
        <w:autoSpaceDE/>
        <w:autoSpaceDN/>
        <w:bidi w:val="0"/>
        <w:adjustRightInd/>
        <w:snapToGrid/>
        <w:spacing w:before="312" w:beforeLines="100" w:after="312" w:afterLines="100"/>
        <w:ind w:left="0" w:firstLine="0"/>
        <w:jc w:val="left"/>
        <w:textAlignment w:val="auto"/>
        <w:outlineLvl w:val="0"/>
        <w:rPr>
          <w:rFonts w:ascii="黑体" w:hAnsi="Times New Roman" w:eastAsia="黑体" w:cs="Times New Roman"/>
          <w:sz w:val="21"/>
          <w:lang w:val="en-US" w:eastAsia="zh-CN" w:bidi="ar-SA"/>
        </w:rPr>
      </w:pPr>
      <w:bookmarkStart w:id="140" w:name="_Toc118880715"/>
      <w:bookmarkStart w:id="141" w:name="_Toc118880416"/>
      <w:r>
        <w:rPr>
          <w:rFonts w:hint="eastAsia" w:ascii="黑体" w:hAnsi="Times New Roman" w:eastAsia="黑体" w:cs="Times New Roman"/>
          <w:sz w:val="21"/>
          <w:lang w:val="en-US" w:eastAsia="zh-CN" w:bidi="ar-SA"/>
        </w:rPr>
        <w:t>评估程序</w:t>
      </w:r>
      <w:bookmarkEnd w:id="140"/>
      <w:bookmarkEnd w:id="141"/>
    </w:p>
    <w:p>
      <w:pPr>
        <w:numPr>
          <w:ilvl w:val="2"/>
          <w:numId w:val="7"/>
        </w:numPr>
        <w:spacing w:before="156" w:beforeLines="50" w:after="156" w:afterLines="50"/>
        <w:ind w:left="0"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准备与启动</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在事故调查组内成立救援评估组（以下简称评估组），启动评估工作，可聘请专家或第三方专业机构参与应急救援评估工作。评估启动工作包括：</w:t>
      </w:r>
    </w:p>
    <w:p>
      <w:pPr>
        <w:numPr>
          <w:ilvl w:val="0"/>
          <w:numId w:val="9"/>
        </w:numPr>
        <w:tabs>
          <w:tab w:val="left" w:pos="851"/>
        </w:tabs>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明确评估组的组成人员；</w:t>
      </w:r>
    </w:p>
    <w:p>
      <w:pPr>
        <w:numPr>
          <w:ilvl w:val="0"/>
          <w:numId w:val="9"/>
        </w:numPr>
        <w:tabs>
          <w:tab w:val="left" w:pos="851"/>
        </w:tabs>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明确工作任务，制定评估工作方案；</w:t>
      </w:r>
    </w:p>
    <w:p>
      <w:pPr>
        <w:numPr>
          <w:ilvl w:val="0"/>
          <w:numId w:val="9"/>
        </w:numPr>
        <w:tabs>
          <w:tab w:val="left" w:pos="851"/>
        </w:tabs>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召开评估组内部会议，明确任务分工和进度安排；</w:t>
      </w:r>
    </w:p>
    <w:p>
      <w:pPr>
        <w:numPr>
          <w:ilvl w:val="0"/>
          <w:numId w:val="9"/>
        </w:numPr>
        <w:tabs>
          <w:tab w:val="left" w:pos="851"/>
        </w:tabs>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收集评估工作需要的法律、法规、规章、标准和</w:t>
      </w:r>
      <w:r>
        <w:rPr>
          <w:rFonts w:ascii="宋体" w:hAnsi="Times New Roman" w:eastAsia="宋体" w:cs="Times New Roman"/>
          <w:sz w:val="21"/>
          <w:lang w:val="en-US" w:eastAsia="zh-CN" w:bidi="ar-SA"/>
        </w:rPr>
        <w:t>规</w:t>
      </w:r>
      <w:r>
        <w:rPr>
          <w:rFonts w:hint="eastAsia" w:ascii="宋体" w:hAnsi="Times New Roman" w:eastAsia="宋体" w:cs="Times New Roman"/>
          <w:sz w:val="21"/>
          <w:lang w:val="en-US" w:eastAsia="zh-CN" w:bidi="ar-SA"/>
        </w:rPr>
        <w:t>范性文件。</w:t>
      </w:r>
    </w:p>
    <w:p>
      <w:pPr>
        <w:numPr>
          <w:ilvl w:val="2"/>
          <w:numId w:val="8"/>
        </w:numPr>
        <w:spacing w:before="156" w:beforeLines="50" w:after="156" w:afterLines="50"/>
        <w:ind w:left="0" w:firstLine="0"/>
        <w:jc w:val="both"/>
        <w:outlineLvl w:val="1"/>
        <w:rPr>
          <w:rFonts w:ascii="黑体" w:hAnsi="Times New Roman" w:eastAsia="黑体" w:cs="Times New Roman"/>
          <w:sz w:val="21"/>
          <w:lang w:val="en-US" w:eastAsia="zh-CN" w:bidi="ar-SA"/>
        </w:rPr>
      </w:pPr>
      <w:bookmarkStart w:id="142" w:name="_Toc118880418"/>
      <w:bookmarkStart w:id="143" w:name="_Toc118880717"/>
      <w:bookmarkStart w:id="144" w:name="_Toc81406853"/>
      <w:r>
        <w:rPr>
          <w:rFonts w:ascii="黑体" w:hAnsi="Times New Roman" w:eastAsia="黑体" w:cs="Times New Roman"/>
          <w:sz w:val="21"/>
          <w:lang w:val="en-US" w:eastAsia="zh-CN" w:bidi="ar-SA"/>
        </w:rPr>
        <w:t>评估</w:t>
      </w:r>
      <w:r>
        <w:rPr>
          <w:rFonts w:hint="eastAsia" w:ascii="黑体" w:hAnsi="Times New Roman" w:eastAsia="黑体" w:cs="Times New Roman"/>
          <w:sz w:val="21"/>
          <w:lang w:val="en-US" w:eastAsia="zh-CN" w:bidi="ar-SA"/>
        </w:rPr>
        <w:t>实施</w:t>
      </w:r>
      <w:bookmarkEnd w:id="142"/>
      <w:bookmarkEnd w:id="143"/>
      <w:bookmarkEnd w:id="144"/>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45" w:name="_Toc118880718"/>
      <w:r>
        <w:rPr>
          <w:rFonts w:hint="eastAsia" w:ascii="黑体" w:hAnsi="Times New Roman" w:eastAsia="黑体" w:cs="Times New Roman"/>
          <w:sz w:val="21"/>
          <w:lang w:val="en-US" w:eastAsia="zh-CN" w:bidi="ar-SA"/>
        </w:rPr>
        <w:t>收集资料</w:t>
      </w:r>
      <w:bookmarkEnd w:id="145"/>
    </w:p>
    <w:p>
      <w:pPr>
        <w:widowControl/>
        <w:numPr>
          <w:ilvl w:val="0"/>
          <w:numId w:val="0"/>
        </w:numPr>
        <w:spacing w:beforeLines="0" w:afterLines="0"/>
        <w:ind w:firstLine="420" w:firstLineChars="200"/>
        <w:jc w:val="both"/>
        <w:outlineLvl w:val="3"/>
        <w:rPr>
          <w:rFonts w:ascii="宋体" w:hAnsi="宋体" w:eastAsia="宋体" w:cs="Times New Roman"/>
          <w:sz w:val="21"/>
          <w:lang w:val="en-US" w:eastAsia="zh-CN" w:bidi="ar-SA"/>
        </w:rPr>
      </w:pPr>
      <w:r>
        <w:rPr>
          <w:rFonts w:hint="eastAsia" w:ascii="宋体" w:hAnsi="宋体" w:eastAsia="宋体" w:cs="Times New Roman"/>
          <w:sz w:val="21"/>
          <w:lang w:val="en-US" w:eastAsia="zh-CN" w:bidi="ar-SA"/>
        </w:rPr>
        <w:t>评估组向事故单位、事发地人民政府及相关部门收集的资料包括：</w:t>
      </w:r>
    </w:p>
    <w:p>
      <w:pPr>
        <w:numPr>
          <w:ilvl w:val="0"/>
          <w:numId w:val="10"/>
        </w:numPr>
        <w:shd w:val="clear" w:color="FFFFFF" w:fill="FFFFFF"/>
        <w:tabs>
          <w:tab w:val="left" w:pos="851"/>
        </w:tabs>
        <w:spacing w:beforeLines="0" w:afterLines="0"/>
        <w:ind w:left="850" w:hanging="425"/>
        <w:jc w:val="both"/>
        <w:outlineLvl w:val="0"/>
        <w:rPr>
          <w:rFonts w:ascii="宋体" w:hAnsi="Times New Roman" w:eastAsia="宋体" w:cs="Times New Roman"/>
          <w:sz w:val="21"/>
          <w:lang w:val="en-US" w:eastAsia="zh-CN" w:bidi="ar-SA"/>
        </w:rPr>
      </w:pPr>
      <w:bookmarkStart w:id="146" w:name="_Toc118880419"/>
      <w:bookmarkStart w:id="147" w:name="_Toc118880719"/>
      <w:r>
        <w:rPr>
          <w:rFonts w:hint="eastAsia" w:ascii="宋体" w:hAnsi="Times New Roman" w:eastAsia="宋体" w:cs="Times New Roman"/>
          <w:sz w:val="21"/>
          <w:lang w:val="en-US" w:eastAsia="zh-CN" w:bidi="ar-SA"/>
        </w:rPr>
        <w:t>事故的基本情况，主要包括：事故单位概况、人员伤亡、财产损失情况，事故初步原因；</w:t>
      </w:r>
      <w:bookmarkEnd w:id="146"/>
      <w:bookmarkEnd w:id="147"/>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事发地人民政府及相关部门、事故单位的风险评估、应急预案及演练、培训教育、应急资源调查情况；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事故单位事故发生前预警情况；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事故单位信息报送、应急响应、应急救援情况；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事发地人民政府及相关部门信息接报、应急响应、应急救援情况；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参与应急救援队伍及其他应急救援力量信息接报、应急响应、应急救援物资装备、应急救援情况；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应急救援现场指挥部人员构成、分工、组织指挥体系，救援方案制定及执行，现场管理，信息发布与舆情引导情况；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后期处置情况及环境影响防控措施执行情况；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其他需要提供的情况。</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hint="eastAsia" w:ascii="黑体" w:hAnsi="Times New Roman" w:eastAsia="黑体" w:cs="Times New Roman"/>
          <w:sz w:val="21"/>
          <w:lang w:val="en-US" w:eastAsia="zh-CN" w:bidi="ar-SA"/>
        </w:rPr>
      </w:pPr>
      <w:bookmarkStart w:id="148" w:name="_Toc118880720"/>
      <w:r>
        <w:rPr>
          <w:rFonts w:hint="eastAsia" w:ascii="黑体" w:hAnsi="Times New Roman" w:eastAsia="黑体" w:cs="Times New Roman"/>
          <w:sz w:val="21"/>
          <w:lang w:val="en-US" w:eastAsia="zh-CN" w:bidi="ar-SA"/>
        </w:rPr>
        <w:t>评估</w:t>
      </w:r>
      <w:bookmarkEnd w:id="148"/>
      <w:r>
        <w:rPr>
          <w:rFonts w:hint="eastAsia" w:ascii="黑体" w:hAnsi="Times New Roman" w:eastAsia="黑体" w:cs="Times New Roman"/>
          <w:sz w:val="21"/>
          <w:lang w:val="en-US" w:eastAsia="zh-CN" w:bidi="ar-SA"/>
        </w:rPr>
        <w:t>分析</w:t>
      </w:r>
    </w:p>
    <w:p>
      <w:pPr>
        <w:autoSpaceDE w:val="0"/>
        <w:autoSpaceDN w:val="0"/>
        <w:ind w:firstLine="420" w:firstLineChars="200"/>
        <w:jc w:val="both"/>
        <w:rPr>
          <w:rFonts w:ascii="宋体" w:hAnsi="Times New Roman" w:eastAsia="宋体" w:cs="Times New Roman"/>
          <w:sz w:val="21"/>
          <w:szCs w:val="22"/>
          <w:lang w:val="en-US" w:eastAsia="zh-CN" w:bidi="ar-SA"/>
        </w:rPr>
      </w:pPr>
      <w:r>
        <w:rPr>
          <w:rFonts w:hint="eastAsia" w:ascii="宋体" w:hAnsi="Times New Roman" w:eastAsia="宋体" w:cs="Times New Roman"/>
          <w:sz w:val="21"/>
          <w:szCs w:val="22"/>
          <w:lang w:val="en-US" w:eastAsia="zh-CN" w:bidi="ar-SA"/>
        </w:rPr>
        <w:t>评估组应按照第6章要求对评估对象开展应急救援评估工作。应急救援评估表见附录A。</w:t>
      </w:r>
    </w:p>
    <w:p>
      <w:pPr>
        <w:numPr>
          <w:ilvl w:val="2"/>
          <w:numId w:val="8"/>
        </w:numPr>
        <w:spacing w:before="156" w:beforeLines="50" w:after="156" w:afterLines="50"/>
        <w:ind w:left="0" w:firstLine="0"/>
        <w:jc w:val="both"/>
        <w:outlineLvl w:val="1"/>
        <w:rPr>
          <w:rFonts w:ascii="黑体" w:hAnsi="Times New Roman" w:eastAsia="黑体" w:cs="Times New Roman"/>
          <w:sz w:val="21"/>
          <w:lang w:val="en-US" w:eastAsia="zh-CN" w:bidi="ar-SA"/>
        </w:rPr>
      </w:pPr>
      <w:bookmarkStart w:id="149" w:name="_Toc81406854"/>
      <w:bookmarkStart w:id="150" w:name="_Toc118880721"/>
      <w:bookmarkStart w:id="151" w:name="_Toc118880420"/>
      <w:r>
        <w:rPr>
          <w:rFonts w:ascii="黑体" w:hAnsi="Times New Roman" w:eastAsia="黑体" w:cs="Times New Roman"/>
          <w:sz w:val="21"/>
          <w:lang w:val="en-US" w:eastAsia="zh-CN" w:bidi="ar-SA"/>
        </w:rPr>
        <w:t>评估</w:t>
      </w:r>
      <w:bookmarkEnd w:id="149"/>
      <w:bookmarkEnd w:id="150"/>
      <w:bookmarkEnd w:id="151"/>
      <w:r>
        <w:rPr>
          <w:rFonts w:hint="eastAsia" w:ascii="黑体" w:hAnsi="Times New Roman" w:eastAsia="黑体" w:cs="Times New Roman"/>
          <w:sz w:val="21"/>
          <w:lang w:val="en-US" w:eastAsia="zh-CN" w:bidi="ar-SA"/>
        </w:rPr>
        <w:t>总结</w:t>
      </w:r>
    </w:p>
    <w:p>
      <w:pPr>
        <w:autoSpaceDE w:val="0"/>
        <w:autoSpaceDN w:val="0"/>
        <w:ind w:firstLine="420" w:firstLineChars="200"/>
        <w:jc w:val="both"/>
        <w:rPr>
          <w:rFonts w:ascii="宋体" w:hAnsi="Times New Roman" w:eastAsia="宋体" w:cs="Times New Roman"/>
          <w:sz w:val="21"/>
          <w:szCs w:val="22"/>
          <w:lang w:val="en-US" w:eastAsia="zh-CN" w:bidi="ar-SA"/>
        </w:rPr>
      </w:pPr>
      <w:r>
        <w:rPr>
          <w:rFonts w:hint="eastAsia" w:ascii="宋体" w:hAnsi="Times New Roman" w:eastAsia="宋体" w:cs="Times New Roman"/>
          <w:sz w:val="21"/>
          <w:szCs w:val="22"/>
          <w:lang w:val="en-US" w:eastAsia="zh-CN" w:bidi="ar-SA"/>
        </w:rPr>
        <w:t>评估组应汇总评估过程中发现的经验和问题，形成公正客观的评估意见，得出应急救援评估结论，撰写应急救援评估报告，由全体评估组成员签字后提交事故调查组。生产安全事故应急救援评估报告大纲参见附录B，报告内容包括：</w:t>
      </w:r>
    </w:p>
    <w:p>
      <w:pPr>
        <w:numPr>
          <w:ilvl w:val="0"/>
          <w:numId w:val="11"/>
        </w:numPr>
        <w:shd w:val="clear" w:color="FFFFFF" w:fill="FFFFFF"/>
        <w:tabs>
          <w:tab w:val="left" w:pos="851"/>
        </w:tabs>
        <w:spacing w:beforeLines="0" w:afterLines="0"/>
        <w:ind w:left="850" w:hanging="425"/>
        <w:jc w:val="both"/>
        <w:outlineLvl w:val="0"/>
        <w:rPr>
          <w:rFonts w:cs="Times New Roman" w:asciiTheme="minorEastAsia" w:hAnsiTheme="minorEastAsia" w:eastAsiaTheme="minorEastAsia"/>
          <w:sz w:val="21"/>
          <w:lang w:val="en-US" w:eastAsia="zh-CN" w:bidi="ar-SA"/>
        </w:rPr>
      </w:pPr>
      <w:bookmarkStart w:id="152" w:name="_Toc118880722"/>
      <w:bookmarkStart w:id="153" w:name="_Toc118880421"/>
      <w:r>
        <w:rPr>
          <w:rFonts w:hint="eastAsia" w:cs="Times New Roman" w:asciiTheme="minorEastAsia" w:hAnsiTheme="minorEastAsia" w:eastAsiaTheme="minorEastAsia"/>
          <w:sz w:val="21"/>
          <w:lang w:val="en-US" w:eastAsia="zh-CN" w:bidi="ar-SA"/>
        </w:rPr>
        <w:t>应急救援基本情况：包括事故单位情况、事故发生简要经过、事故应急处置概况</w:t>
      </w:r>
      <w:bookmarkEnd w:id="152"/>
      <w:bookmarkEnd w:id="153"/>
      <w:r>
        <w:rPr>
          <w:rFonts w:hint="eastAsia" w:cs="Times New Roman" w:asciiTheme="minorEastAsia" w:hAnsiTheme="minorEastAsia" w:eastAsiaTheme="minorEastAsia"/>
          <w:sz w:val="21"/>
          <w:lang w:val="en-US" w:eastAsia="zh-CN" w:bidi="ar-SA"/>
        </w:rPr>
        <w:t>；</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应急准备情况：事故单位、事发地人民政府及相关部门应急准备情况；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预警情况：事故单位在事故发生前预警；</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处置过程：包括信息接报、企业先期处置、事发地人民政府及相关部门应急响应（政府响应、部门联动）、组织指挥（各级指挥部成立及运行情况）、处置主要过程、人员伤亡情况、信息发布和舆情引导、善后处置；</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应急保障情况：包括专业技术保障，救援队伍及物资装备保障，公安、卫健、电力、通信、供水、燃气、气象、城管、交通部门救援力量及物资装备保障；</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事故特点及救援难点：系统总结事故特点，分析救援过程中存在的难点；</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救援评估意见：主要包括应急救援评估结论、救援经验做法和存在问题不足，并对存在的失职渎职情况，按照有关规定提出处理建议。在报告正文或脚注中将违反的法律、法规、规章、标准及规范性文件的具体条款或内容列出；</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工作建议：提出应急救援工作中的建议；</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附件：提供证据文件或图表。</w:t>
      </w:r>
    </w:p>
    <w:p>
      <w:pPr>
        <w:keepNext w:val="0"/>
        <w:keepLines w:val="0"/>
        <w:pageBreakBefore w:val="0"/>
        <w:widowControl/>
        <w:numPr>
          <w:ilvl w:val="1"/>
          <w:numId w:val="8"/>
        </w:numPr>
        <w:kinsoku/>
        <w:wordWrap/>
        <w:overflowPunct/>
        <w:topLinePunct w:val="0"/>
        <w:autoSpaceDE/>
        <w:autoSpaceDN/>
        <w:bidi w:val="0"/>
        <w:adjustRightInd/>
        <w:snapToGrid/>
        <w:spacing w:before="312" w:beforeLines="100" w:after="312" w:afterLines="100"/>
        <w:ind w:left="0" w:firstLine="0"/>
        <w:jc w:val="left"/>
        <w:textAlignment w:val="auto"/>
        <w:outlineLvl w:val="0"/>
        <w:rPr>
          <w:rFonts w:ascii="黑体" w:hAnsi="Times New Roman" w:eastAsia="黑体" w:cs="Times New Roman"/>
          <w:sz w:val="21"/>
          <w:lang w:val="en-US" w:eastAsia="zh-CN" w:bidi="ar-SA"/>
        </w:rPr>
      </w:pPr>
      <w:bookmarkStart w:id="154" w:name="_Toc118880422"/>
      <w:bookmarkStart w:id="155" w:name="_Toc118880723"/>
      <w:bookmarkStart w:id="156" w:name="_Toc80692183"/>
      <w:r>
        <w:rPr>
          <w:rFonts w:ascii="黑体" w:hAnsi="Times New Roman" w:eastAsia="黑体" w:cs="Times New Roman"/>
          <w:sz w:val="21"/>
          <w:lang w:val="en-US" w:eastAsia="zh-CN" w:bidi="ar-SA"/>
        </w:rPr>
        <w:t>评估内容</w:t>
      </w:r>
      <w:bookmarkEnd w:id="154"/>
      <w:bookmarkEnd w:id="155"/>
      <w:bookmarkEnd w:id="156"/>
    </w:p>
    <w:p>
      <w:pPr>
        <w:numPr>
          <w:ilvl w:val="2"/>
          <w:numId w:val="8"/>
        </w:numPr>
        <w:spacing w:before="156" w:beforeLines="50" w:after="156" w:afterLines="50"/>
        <w:ind w:left="0" w:firstLine="0"/>
        <w:jc w:val="both"/>
        <w:outlineLvl w:val="1"/>
        <w:rPr>
          <w:rFonts w:ascii="黑体" w:hAnsi="Times New Roman" w:eastAsia="黑体" w:cs="Times New Roman"/>
          <w:sz w:val="21"/>
          <w:lang w:val="en-US" w:eastAsia="zh-CN" w:bidi="ar-SA"/>
        </w:rPr>
      </w:pPr>
      <w:bookmarkStart w:id="157" w:name="_Toc118880724"/>
      <w:bookmarkStart w:id="158" w:name="_Toc118880423"/>
      <w:r>
        <w:rPr>
          <w:rFonts w:hint="eastAsia" w:ascii="黑体" w:hAnsi="Times New Roman" w:eastAsia="黑体" w:cs="Times New Roman"/>
          <w:sz w:val="21"/>
          <w:lang w:val="en-US" w:eastAsia="zh-CN" w:bidi="ar-SA"/>
        </w:rPr>
        <w:t>事故单位应急救援情况评估</w:t>
      </w:r>
      <w:bookmarkEnd w:id="157"/>
      <w:bookmarkEnd w:id="158"/>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59" w:name="_Toc118880725"/>
      <w:r>
        <w:rPr>
          <w:rFonts w:hint="eastAsia" w:ascii="黑体" w:hAnsi="Times New Roman" w:eastAsia="黑体" w:cs="Times New Roman"/>
          <w:sz w:val="21"/>
          <w:lang w:val="en-US" w:eastAsia="zh-CN" w:bidi="ar-SA"/>
        </w:rPr>
        <w:t>应急准备</w:t>
      </w:r>
      <w:bookmarkEnd w:id="159"/>
    </w:p>
    <w:p>
      <w:pPr>
        <w:autoSpaceDE w:val="0"/>
        <w:autoSpaceDN w:val="0"/>
        <w:ind w:firstLine="420" w:firstLineChars="200"/>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应急</w:t>
      </w:r>
      <w:r>
        <w:rPr>
          <w:rFonts w:ascii="Times New Roman" w:hAnsi="Times New Roman" w:eastAsia="宋体" w:cs="Times New Roman"/>
          <w:sz w:val="21"/>
          <w:lang w:val="en-US" w:eastAsia="zh-CN" w:bidi="ar-SA"/>
        </w:rPr>
        <w:t>准备</w:t>
      </w:r>
      <w:r>
        <w:rPr>
          <w:rFonts w:hint="eastAsia" w:ascii="Times New Roman" w:hAnsi="Times New Roman" w:eastAsia="宋体" w:cs="Times New Roman"/>
          <w:sz w:val="21"/>
          <w:lang w:val="en-US" w:eastAsia="zh-CN" w:bidi="ar-SA"/>
        </w:rPr>
        <w:t>的评估</w:t>
      </w:r>
      <w:r>
        <w:rPr>
          <w:rFonts w:ascii="Times New Roman" w:hAnsi="Times New Roman" w:eastAsia="宋体" w:cs="Times New Roman"/>
          <w:sz w:val="21"/>
          <w:lang w:val="en-US" w:eastAsia="zh-CN" w:bidi="ar-SA"/>
        </w:rPr>
        <w:t>包括：</w:t>
      </w:r>
    </w:p>
    <w:p>
      <w:pPr>
        <w:numPr>
          <w:ilvl w:val="0"/>
          <w:numId w:val="12"/>
        </w:numPr>
        <w:shd w:val="clear" w:color="FFFFFF" w:fill="FFFFFF"/>
        <w:tabs>
          <w:tab w:val="left" w:pos="851"/>
        </w:tabs>
        <w:spacing w:beforeLines="0" w:afterLines="0"/>
        <w:ind w:left="850" w:hanging="425"/>
        <w:jc w:val="left"/>
        <w:outlineLvl w:val="0"/>
        <w:rPr>
          <w:rFonts w:cs="Times New Roman" w:asciiTheme="minorEastAsia" w:hAnsiTheme="minorEastAsia" w:eastAsiaTheme="minorEastAsia"/>
          <w:sz w:val="21"/>
          <w:lang w:val="en-US" w:eastAsia="zh-CN" w:bidi="ar-SA"/>
        </w:rPr>
      </w:pPr>
      <w:bookmarkStart w:id="160" w:name="_Toc118880726"/>
      <w:bookmarkStart w:id="161" w:name="_Toc118880424"/>
      <w:r>
        <w:rPr>
          <w:rFonts w:hint="eastAsia" w:cs="Times New Roman" w:asciiTheme="minorEastAsia" w:hAnsiTheme="minorEastAsia" w:eastAsiaTheme="minorEastAsia"/>
          <w:sz w:val="21"/>
          <w:lang w:val="en-US" w:eastAsia="zh-CN" w:bidi="ar-SA"/>
        </w:rPr>
        <w:t>事故单位按</w:t>
      </w:r>
      <w:r>
        <w:rPr>
          <w:rFonts w:cs="Times New Roman" w:asciiTheme="minorEastAsia" w:hAnsiTheme="minorEastAsia" w:eastAsiaTheme="minorEastAsia"/>
          <w:sz w:val="21"/>
          <w:lang w:val="en-US" w:eastAsia="zh-CN" w:bidi="ar-SA"/>
        </w:rPr>
        <w:t>GB/T</w:t>
      </w:r>
      <w:r>
        <w:rPr>
          <w:rFonts w:hint="eastAsia" w:cs="Times New Roman" w:asciiTheme="minorEastAsia" w:hAnsiTheme="minorEastAsia" w:eastAsiaTheme="minorEastAsia"/>
          <w:sz w:val="21"/>
          <w:lang w:val="en-US" w:eastAsia="zh-CN" w:bidi="ar-SA"/>
        </w:rPr>
        <w:t xml:space="preserve"> </w:t>
      </w:r>
      <w:r>
        <w:rPr>
          <w:rFonts w:cs="Times New Roman" w:asciiTheme="minorEastAsia" w:hAnsiTheme="minorEastAsia" w:eastAsiaTheme="minorEastAsia"/>
          <w:sz w:val="21"/>
          <w:lang w:val="en-US" w:eastAsia="zh-CN" w:bidi="ar-SA"/>
        </w:rPr>
        <w:t>29639</w:t>
      </w:r>
      <w:r>
        <w:rPr>
          <w:rFonts w:hint="eastAsia" w:cs="Times New Roman" w:asciiTheme="minorEastAsia" w:hAnsiTheme="minorEastAsia" w:eastAsiaTheme="minorEastAsia"/>
          <w:sz w:val="21"/>
          <w:lang w:val="en-US" w:eastAsia="zh-CN" w:bidi="ar-SA"/>
        </w:rPr>
        <w:t>的要求开展风险辨识评估、编制应急预案情况，预案是否有针对性和可操作性，预案备案情况；</w:t>
      </w:r>
      <w:bookmarkEnd w:id="160"/>
      <w:bookmarkEnd w:id="161"/>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事故单位按照AQ/T 9007要求开展应急演练和按照</w:t>
      </w:r>
      <w:r>
        <w:rPr>
          <w:rFonts w:ascii="Times New Roman" w:hAnsi="Times New Roman" w:eastAsia="宋体" w:cs="Times New Roman"/>
          <w:sz w:val="21"/>
          <w:lang w:val="en-US" w:eastAsia="zh-CN" w:bidi="ar-SA"/>
        </w:rPr>
        <w:t>AQ/T 900</w:t>
      </w:r>
      <w:r>
        <w:rPr>
          <w:rFonts w:hint="eastAsia" w:ascii="Times New Roman" w:hAnsi="Times New Roman" w:eastAsia="宋体" w:cs="Times New Roman"/>
          <w:sz w:val="21"/>
          <w:lang w:val="en-US" w:eastAsia="zh-CN" w:bidi="ar-SA"/>
        </w:rPr>
        <w:t>9开展演练评估</w:t>
      </w:r>
      <w:r>
        <w:rPr>
          <w:rFonts w:hint="eastAsia" w:ascii="宋体" w:hAnsi="Times New Roman" w:eastAsia="宋体" w:cs="Times New Roman"/>
          <w:sz w:val="21"/>
          <w:lang w:val="en-US" w:eastAsia="zh-CN" w:bidi="ar-SA"/>
        </w:rPr>
        <w:t>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事故单位建立专（兼）职应急救援队伍（人员）、按规定配备值班人员和开展应急知识宣传教育培训情况；</w:t>
      </w:r>
    </w:p>
    <w:p>
      <w:pPr>
        <w:numPr>
          <w:ilvl w:val="0"/>
          <w:numId w:val="2"/>
        </w:numPr>
        <w:ind w:left="851" w:hanging="426"/>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事故单位应急组织架构、应急装备设施与物资保障情况。</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hint="eastAsia" w:ascii="黑体" w:hAnsi="Times New Roman" w:eastAsia="黑体" w:cs="Times New Roman"/>
          <w:sz w:val="21"/>
          <w:lang w:val="en-US" w:eastAsia="zh-CN" w:bidi="ar-SA"/>
        </w:rPr>
      </w:pPr>
      <w:bookmarkStart w:id="162" w:name="_Toc118880727"/>
      <w:r>
        <w:rPr>
          <w:rFonts w:hint="eastAsia" w:ascii="黑体" w:hAnsi="Times New Roman" w:eastAsia="黑体" w:cs="Times New Roman"/>
          <w:sz w:val="21"/>
          <w:lang w:val="en-US" w:eastAsia="zh-CN" w:bidi="ar-SA"/>
        </w:rPr>
        <w:t>预警</w:t>
      </w:r>
    </w:p>
    <w:p>
      <w:pPr>
        <w:autoSpaceDE w:val="0"/>
        <w:autoSpaceDN w:val="0"/>
        <w:ind w:firstLine="409" w:firstLineChars="195"/>
        <w:jc w:val="both"/>
        <w:rPr>
          <w:rFonts w:hint="eastAsia"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事故单位安全生产风险监测预警装置或系统发出警报信息情况，以及事故单位针对警情所采取相关措施情况。</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应急响应</w:t>
      </w:r>
      <w:bookmarkEnd w:id="162"/>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6.1.3.1信息报送</w:t>
      </w:r>
    </w:p>
    <w:p>
      <w:pPr>
        <w:autoSpaceDE w:val="0"/>
        <w:autoSpaceDN w:val="0"/>
        <w:ind w:firstLine="409" w:firstLineChars="195"/>
        <w:jc w:val="both"/>
        <w:rPr>
          <w:rFonts w:ascii="宋体"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信息报送的评估</w:t>
      </w:r>
      <w:r>
        <w:rPr>
          <w:rFonts w:ascii="Times New Roman" w:hAnsi="Times New Roman" w:eastAsia="宋体" w:cs="Times New Roman"/>
          <w:sz w:val="21"/>
          <w:lang w:val="en-US" w:eastAsia="zh-CN" w:bidi="ar-SA"/>
        </w:rPr>
        <w:t>包括：</w:t>
      </w:r>
    </w:p>
    <w:p>
      <w:pPr>
        <w:numPr>
          <w:ilvl w:val="0"/>
          <w:numId w:val="1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事故发生后，事故现场人员按规定报告本单位负责人情况；</w:t>
      </w:r>
    </w:p>
    <w:p>
      <w:pPr>
        <w:numPr>
          <w:ilvl w:val="0"/>
          <w:numId w:val="1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事故单位按规定报告政府相关部门情况；</w:t>
      </w:r>
    </w:p>
    <w:p>
      <w:pPr>
        <w:numPr>
          <w:ilvl w:val="0"/>
          <w:numId w:val="1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事故单位信息报送的及时、准确、完整情况；</w:t>
      </w:r>
    </w:p>
    <w:p>
      <w:pPr>
        <w:numPr>
          <w:ilvl w:val="0"/>
          <w:numId w:val="1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若存在迟报、漏报、谎报、瞒报事故的情况应加以说明。</w:t>
      </w:r>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6.1.3.2先期处置</w:t>
      </w:r>
    </w:p>
    <w:p>
      <w:pPr>
        <w:autoSpaceDE w:val="0"/>
        <w:autoSpaceDN w:val="0"/>
        <w:ind w:firstLine="409" w:firstLineChars="195"/>
        <w:jc w:val="both"/>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先期处置的评估</w:t>
      </w:r>
      <w:r>
        <w:rPr>
          <w:rFonts w:ascii="Times New Roman" w:hAnsi="Times New Roman" w:eastAsia="宋体" w:cs="Times New Roman"/>
          <w:sz w:val="21"/>
          <w:lang w:val="en-US" w:eastAsia="zh-CN" w:bidi="ar-SA"/>
        </w:rPr>
        <w:t>包括：</w:t>
      </w:r>
    </w:p>
    <w:p>
      <w:pPr>
        <w:numPr>
          <w:ilvl w:val="0"/>
          <w:numId w:val="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事故单位启动应急救援预案情况；</w:t>
      </w:r>
    </w:p>
    <w:p>
      <w:pPr>
        <w:numPr>
          <w:ilvl w:val="0"/>
          <w:numId w:val="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事故单位迅速采取有效措施控制危险源，组织抢救遇险人员，防止事故危害扩大情况；</w:t>
      </w:r>
    </w:p>
    <w:p>
      <w:pPr>
        <w:numPr>
          <w:ilvl w:val="0"/>
          <w:numId w:val="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事故单位组织营救被困人员，疏散、撤离、安置受到威胁的人员情况；</w:t>
      </w:r>
    </w:p>
    <w:p>
      <w:pPr>
        <w:numPr>
          <w:ilvl w:val="0"/>
          <w:numId w:val="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事故单位及时通知可能受到事故影响的单位和人员情况；</w:t>
      </w:r>
    </w:p>
    <w:p>
      <w:pPr>
        <w:numPr>
          <w:ilvl w:val="0"/>
          <w:numId w:val="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事故单位采取措施防范次生、衍生事故的情况；</w:t>
      </w:r>
    </w:p>
    <w:p>
      <w:pPr>
        <w:numPr>
          <w:ilvl w:val="0"/>
          <w:numId w:val="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事故单位请求邻近的应急救援队伍参加救援并支持配合救援队伍情况；</w:t>
      </w:r>
    </w:p>
    <w:p>
      <w:pPr>
        <w:numPr>
          <w:ilvl w:val="0"/>
          <w:numId w:val="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维护事故现场秩序，保护事故现场和证据情况。</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63" w:name="_Toc118880728"/>
      <w:r>
        <w:rPr>
          <w:rFonts w:hint="eastAsia" w:ascii="黑体" w:hAnsi="Times New Roman" w:eastAsia="黑体" w:cs="Times New Roman"/>
          <w:sz w:val="21"/>
          <w:lang w:val="en-US" w:eastAsia="zh-CN" w:bidi="ar-SA"/>
        </w:rPr>
        <w:t>配合现场开展救援工作</w:t>
      </w:r>
      <w:bookmarkEnd w:id="163"/>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6.1.4.1应急联动</w:t>
      </w:r>
    </w:p>
    <w:p>
      <w:pPr>
        <w:autoSpaceDE w:val="0"/>
        <w:autoSpaceDN w:val="0"/>
        <w:ind w:left="420" w:firstLine="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事故单位积极配合和支持前来救援的队伍开展救援行动情况。</w:t>
      </w:r>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6.1.4.2现场管理</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现场管理的评估包括：</w:t>
      </w:r>
    </w:p>
    <w:p>
      <w:pPr>
        <w:numPr>
          <w:ilvl w:val="0"/>
          <w:numId w:val="14"/>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事故单位采取有效措施维护现场秩序情况；</w:t>
      </w:r>
    </w:p>
    <w:p>
      <w:pPr>
        <w:numPr>
          <w:ilvl w:val="0"/>
          <w:numId w:val="14"/>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事故单位保护现场和证据情况。</w:t>
      </w:r>
      <w:bookmarkStart w:id="164" w:name="_Toc80692185"/>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65" w:name="_Toc118880729"/>
      <w:r>
        <w:rPr>
          <w:rFonts w:hint="eastAsia" w:ascii="黑体" w:hAnsi="Times New Roman" w:eastAsia="黑体" w:cs="Times New Roman"/>
          <w:sz w:val="21"/>
          <w:lang w:val="en-US" w:eastAsia="zh-CN" w:bidi="ar-SA"/>
        </w:rPr>
        <w:t>应急保障</w:t>
      </w:r>
      <w:bookmarkEnd w:id="165"/>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应急保障的评估包括：</w:t>
      </w:r>
    </w:p>
    <w:p>
      <w:pPr>
        <w:numPr>
          <w:ilvl w:val="0"/>
          <w:numId w:val="15"/>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专业技术保障情况；</w:t>
      </w:r>
    </w:p>
    <w:p>
      <w:pPr>
        <w:numPr>
          <w:ilvl w:val="0"/>
          <w:numId w:val="15"/>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救援队伍及物资装备保障情况。</w:t>
      </w:r>
    </w:p>
    <w:p>
      <w:pPr>
        <w:numPr>
          <w:ilvl w:val="2"/>
          <w:numId w:val="8"/>
        </w:numPr>
        <w:spacing w:before="156" w:beforeLines="50" w:after="156" w:afterLines="50"/>
        <w:ind w:left="0" w:firstLine="0"/>
        <w:jc w:val="both"/>
        <w:outlineLvl w:val="1"/>
        <w:rPr>
          <w:rFonts w:ascii="黑体" w:hAnsi="Times New Roman" w:eastAsia="黑体" w:cs="Times New Roman"/>
          <w:sz w:val="21"/>
          <w:lang w:val="en-US" w:eastAsia="zh-CN" w:bidi="ar-SA"/>
        </w:rPr>
      </w:pPr>
      <w:bookmarkStart w:id="166" w:name="_Toc118880425"/>
      <w:bookmarkStart w:id="167" w:name="_Toc118880731"/>
      <w:r>
        <w:rPr>
          <w:rFonts w:hint="eastAsia" w:ascii="黑体" w:hAnsi="Times New Roman" w:eastAsia="黑体" w:cs="Times New Roman"/>
          <w:sz w:val="21"/>
          <w:lang w:val="en-US" w:eastAsia="zh-CN" w:bidi="ar-SA"/>
        </w:rPr>
        <w:t>事发地人民政府应急救援情况评估</w:t>
      </w:r>
      <w:bookmarkEnd w:id="164"/>
      <w:bookmarkEnd w:id="166"/>
      <w:bookmarkEnd w:id="167"/>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68" w:name="_Toc118880732"/>
      <w:r>
        <w:rPr>
          <w:rFonts w:hint="eastAsia" w:ascii="黑体" w:hAnsi="Times New Roman" w:eastAsia="黑体" w:cs="Times New Roman"/>
          <w:sz w:val="21"/>
          <w:lang w:val="en-US" w:eastAsia="zh-CN" w:bidi="ar-SA"/>
        </w:rPr>
        <w:t>应急准备</w:t>
      </w:r>
      <w:bookmarkEnd w:id="168"/>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根据事故级别评估事发地人民政府的应急准备情况，包括：</w:t>
      </w:r>
    </w:p>
    <w:p>
      <w:pPr>
        <w:numPr>
          <w:ilvl w:val="0"/>
          <w:numId w:val="1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事发地人民政府应急组织机构设置、人员编制、职责界定，以及应急救援专家组建立情况；</w:t>
      </w:r>
    </w:p>
    <w:p>
      <w:pPr>
        <w:numPr>
          <w:ilvl w:val="0"/>
          <w:numId w:val="1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事发地人民政府编制和修订应急预案情况，查看应急预案的针对性、可操作性和要素完整有效情况；</w:t>
      </w:r>
    </w:p>
    <w:p>
      <w:pPr>
        <w:numPr>
          <w:ilvl w:val="0"/>
          <w:numId w:val="1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事发地人民政府及相关部门组织开展应急演练情况；</w:t>
      </w:r>
    </w:p>
    <w:p>
      <w:pPr>
        <w:numPr>
          <w:ilvl w:val="0"/>
          <w:numId w:val="1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应急知识宣传教育培训情况；</w:t>
      </w:r>
    </w:p>
    <w:p>
      <w:pPr>
        <w:numPr>
          <w:ilvl w:val="0"/>
          <w:numId w:val="1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应急值班制度和应急值班人员落实情况；</w:t>
      </w:r>
    </w:p>
    <w:p>
      <w:pPr>
        <w:numPr>
          <w:ilvl w:val="0"/>
          <w:numId w:val="16"/>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应急救援队伍建设、日常训练情况以及救援队伍人员具备必要的专业知识、技能、身体素质和心理素质情况。</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69" w:name="_Toc118880733"/>
      <w:r>
        <w:rPr>
          <w:rFonts w:hint="eastAsia" w:ascii="黑体" w:hAnsi="Times New Roman" w:eastAsia="黑体" w:cs="Times New Roman"/>
          <w:sz w:val="21"/>
          <w:lang w:val="en-US" w:eastAsia="zh-CN" w:bidi="ar-SA"/>
        </w:rPr>
        <w:t>应急响应</w:t>
      </w:r>
      <w:bookmarkEnd w:id="169"/>
    </w:p>
    <w:p>
      <w:pPr>
        <w:numPr>
          <w:ilvl w:val="0"/>
          <w:numId w:val="0"/>
        </w:numPr>
        <w:spacing w:before="156" w:beforeLines="50" w:after="156" w:afterLines="50"/>
        <w:jc w:val="both"/>
        <w:outlineLvl w:val="1"/>
        <w:rPr>
          <w:rFonts w:ascii="黑体" w:hAnsi="Times New Roman" w:eastAsia="黑体" w:cs="Times New Roman"/>
          <w:sz w:val="21"/>
          <w:lang w:val="en-US" w:eastAsia="zh-CN" w:bidi="ar-SA"/>
        </w:rPr>
      </w:pPr>
      <w:bookmarkStart w:id="170" w:name="_Toc118880426"/>
      <w:bookmarkStart w:id="171" w:name="_Toc118880734"/>
      <w:r>
        <w:rPr>
          <w:rFonts w:hint="eastAsia" w:ascii="黑体" w:hAnsi="Times New Roman" w:eastAsia="黑体" w:cs="Times New Roman"/>
          <w:sz w:val="21"/>
          <w:lang w:val="en-US" w:eastAsia="zh-CN" w:bidi="ar-SA"/>
        </w:rPr>
        <w:t>6.2.2.1信息接收、流转和报送</w:t>
      </w:r>
      <w:bookmarkEnd w:id="170"/>
      <w:bookmarkEnd w:id="171"/>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信息接收、流转和报送的评估包括：</w:t>
      </w:r>
    </w:p>
    <w:p>
      <w:pPr>
        <w:numPr>
          <w:ilvl w:val="0"/>
          <w:numId w:val="17"/>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事故信息接收的及时性；</w:t>
      </w:r>
    </w:p>
    <w:p>
      <w:pPr>
        <w:numPr>
          <w:ilvl w:val="0"/>
          <w:numId w:val="17"/>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上报信息及时性和准确性；</w:t>
      </w:r>
    </w:p>
    <w:p>
      <w:pPr>
        <w:numPr>
          <w:ilvl w:val="0"/>
          <w:numId w:val="17"/>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信息报告的内容完整性；</w:t>
      </w:r>
    </w:p>
    <w:p>
      <w:pPr>
        <w:numPr>
          <w:ilvl w:val="0"/>
          <w:numId w:val="17"/>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信息在部门间的共享情况。</w:t>
      </w:r>
    </w:p>
    <w:p>
      <w:pPr>
        <w:numPr>
          <w:ilvl w:val="0"/>
          <w:numId w:val="0"/>
        </w:numPr>
        <w:spacing w:before="156" w:beforeLines="50" w:after="156" w:afterLines="50"/>
        <w:jc w:val="both"/>
        <w:outlineLvl w:val="1"/>
        <w:rPr>
          <w:rFonts w:ascii="黑体" w:hAnsi="Times New Roman" w:eastAsia="黑体" w:cs="Times New Roman"/>
          <w:sz w:val="21"/>
          <w:lang w:val="en-US" w:eastAsia="zh-CN" w:bidi="ar-SA"/>
        </w:rPr>
      </w:pPr>
      <w:bookmarkStart w:id="172" w:name="_Toc118880427"/>
      <w:bookmarkStart w:id="173" w:name="_Toc118880735"/>
      <w:r>
        <w:rPr>
          <w:rFonts w:hint="eastAsia" w:ascii="黑体" w:hAnsi="Times New Roman" w:eastAsia="黑体" w:cs="Times New Roman"/>
          <w:sz w:val="21"/>
          <w:lang w:val="en-US" w:eastAsia="zh-CN" w:bidi="ar-SA"/>
        </w:rPr>
        <w:t>6.2.2.2启动响应</w:t>
      </w:r>
      <w:bookmarkEnd w:id="172"/>
      <w:bookmarkEnd w:id="173"/>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事故发生后，事发地人民政府根据研判及时启动相应级别的应急响应情况。</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74" w:name="_Toc118880736"/>
      <w:r>
        <w:rPr>
          <w:rFonts w:hint="eastAsia" w:ascii="黑体" w:hAnsi="Times New Roman" w:eastAsia="黑体" w:cs="Times New Roman"/>
          <w:sz w:val="21"/>
          <w:lang w:val="en-US" w:eastAsia="zh-CN" w:bidi="ar-SA"/>
        </w:rPr>
        <w:t>应急处置</w:t>
      </w:r>
      <w:bookmarkEnd w:id="174"/>
    </w:p>
    <w:p>
      <w:pPr>
        <w:numPr>
          <w:ilvl w:val="0"/>
          <w:numId w:val="0"/>
        </w:numPr>
        <w:spacing w:before="156" w:beforeLines="50" w:after="156" w:afterLines="50"/>
        <w:jc w:val="both"/>
        <w:outlineLvl w:val="1"/>
        <w:rPr>
          <w:rFonts w:ascii="黑体" w:hAnsi="Times New Roman" w:eastAsia="黑体" w:cs="Times New Roman"/>
          <w:sz w:val="21"/>
          <w:lang w:val="en-US" w:eastAsia="zh-CN" w:bidi="ar-SA"/>
        </w:rPr>
      </w:pPr>
      <w:bookmarkStart w:id="175" w:name="_Toc118880428"/>
      <w:bookmarkStart w:id="176" w:name="_Toc118880737"/>
      <w:r>
        <w:rPr>
          <w:rFonts w:hint="eastAsia" w:ascii="黑体" w:hAnsi="Times New Roman" w:eastAsia="黑体" w:cs="Times New Roman"/>
          <w:sz w:val="21"/>
          <w:lang w:val="en-US" w:eastAsia="zh-CN" w:bidi="ar-SA"/>
        </w:rPr>
        <w:t>6.2.3.1现场指挥</w:t>
      </w:r>
      <w:bookmarkEnd w:id="175"/>
      <w:bookmarkEnd w:id="176"/>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现场指挥的评估包括：</w:t>
      </w:r>
    </w:p>
    <w:p>
      <w:pPr>
        <w:numPr>
          <w:ilvl w:val="0"/>
          <w:numId w:val="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按照法律法规和预案要求，成立现场指挥部及指挥场所情况；</w:t>
      </w:r>
    </w:p>
    <w:p>
      <w:pPr>
        <w:numPr>
          <w:ilvl w:val="0"/>
          <w:numId w:val="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现场指挥部下设工作组情况、各工作组的分工及协同救援情况；</w:t>
      </w:r>
    </w:p>
    <w:p>
      <w:pPr>
        <w:numPr>
          <w:ilvl w:val="0"/>
          <w:numId w:val="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现场指挥部对事故现场有效传达指令，进行有效管控情况；</w:t>
      </w:r>
    </w:p>
    <w:p>
      <w:pPr>
        <w:numPr>
          <w:ilvl w:val="0"/>
          <w:numId w:val="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现场指挥部抢险救援方案的制定以及应急救援队伍落实方案情况；</w:t>
      </w:r>
    </w:p>
    <w:p>
      <w:pPr>
        <w:numPr>
          <w:ilvl w:val="0"/>
          <w:numId w:val="3"/>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现场管理、交通管制、医疗卫生、环境监测、舆情引导工作协调联动情况。</w:t>
      </w:r>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6.2.3.2应急救援队伍和装备资源调动</w:t>
      </w:r>
    </w:p>
    <w:p>
      <w:pPr>
        <w:autoSpaceDE w:val="0"/>
        <w:autoSpaceDN w:val="0"/>
        <w:ind w:firstLine="420" w:firstLineChars="200"/>
        <w:jc w:val="both"/>
        <w:rPr>
          <w:rFonts w:ascii="宋体" w:hAnsi="Times New Roman" w:eastAsia="宋体" w:cs="Times New Roman"/>
          <w:b/>
          <w:sz w:val="21"/>
          <w:lang w:val="en-US" w:eastAsia="zh-CN" w:bidi="ar-SA"/>
        </w:rPr>
      </w:pPr>
      <w:r>
        <w:rPr>
          <w:rFonts w:hint="eastAsia" w:ascii="宋体" w:hAnsi="Times New Roman" w:eastAsia="宋体" w:cs="Times New Roman"/>
          <w:sz w:val="21"/>
          <w:lang w:val="en-US" w:eastAsia="zh-CN" w:bidi="ar-SA"/>
        </w:rPr>
        <w:t>应急救援队伍和装备资源调动的评估包括：</w:t>
      </w:r>
    </w:p>
    <w:p>
      <w:pPr>
        <w:numPr>
          <w:ilvl w:val="0"/>
          <w:numId w:val="18"/>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向应急救援队伍下达救援命令、有效调动应急救援队伍情况；</w:t>
      </w:r>
    </w:p>
    <w:p>
      <w:pPr>
        <w:numPr>
          <w:ilvl w:val="0"/>
          <w:numId w:val="18"/>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调用和征用应急资源、物资装备情况；</w:t>
      </w:r>
    </w:p>
    <w:p>
      <w:pPr>
        <w:numPr>
          <w:ilvl w:val="0"/>
          <w:numId w:val="18"/>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应急救援队伍物资装备使用情况。</w:t>
      </w:r>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6.2.3.3医疗救治和善后处置</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医疗救治和善后处置的评估包括：</w:t>
      </w:r>
    </w:p>
    <w:p>
      <w:pPr>
        <w:numPr>
          <w:ilvl w:val="0"/>
          <w:numId w:val="19"/>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组织抢救遇险人员，救治受伤人员，伤亡人员家属安抚，以及社会稳定情况；</w:t>
      </w:r>
    </w:p>
    <w:p>
      <w:pPr>
        <w:numPr>
          <w:ilvl w:val="0"/>
          <w:numId w:val="19"/>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通知可能受到事故影响的单位和人员避险安置情况。</w:t>
      </w:r>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6.2.3.4防止事故危害扩大和防控环境影响的措施</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防止事故危害扩大和防控环境影响措施的评估包括：</w:t>
      </w:r>
    </w:p>
    <w:p>
      <w:pPr>
        <w:numPr>
          <w:ilvl w:val="0"/>
          <w:numId w:val="20"/>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采取有效措施防止事故危害扩大和防范次生、衍生事故情况；</w:t>
      </w:r>
    </w:p>
    <w:p>
      <w:pPr>
        <w:numPr>
          <w:ilvl w:val="0"/>
          <w:numId w:val="20"/>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采取必要的措施减少事故对环境造成的危害情况；</w:t>
      </w:r>
    </w:p>
    <w:p>
      <w:pPr>
        <w:numPr>
          <w:ilvl w:val="0"/>
          <w:numId w:val="20"/>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有效研判事故发展趋势以及可能造成的危害情况。</w:t>
      </w:r>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6.2.3.5现场秩序维护</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现场秩序的评估包括：</w:t>
      </w:r>
    </w:p>
    <w:p>
      <w:pPr>
        <w:numPr>
          <w:ilvl w:val="0"/>
          <w:numId w:val="21"/>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按照要求隔离事故现场，划定警戒区域，有效维护现场秩序情况；</w:t>
      </w:r>
    </w:p>
    <w:p>
      <w:pPr>
        <w:numPr>
          <w:ilvl w:val="0"/>
          <w:numId w:val="21"/>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及时疏散和安置事故可能影响的人员情况；</w:t>
      </w:r>
    </w:p>
    <w:p>
      <w:pPr>
        <w:numPr>
          <w:ilvl w:val="0"/>
          <w:numId w:val="21"/>
        </w:numPr>
        <w:autoSpaceDE w:val="0"/>
        <w:autoSpaceDN w:val="0"/>
        <w:ind w:left="840" w:hanging="420" w:firstLineChars="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对现场周边及有关区域实行交通管制情况。</w:t>
      </w:r>
    </w:p>
    <w:p>
      <w:pPr>
        <w:widowControl/>
        <w:numPr>
          <w:ilvl w:val="0"/>
          <w:numId w:val="0"/>
        </w:numPr>
        <w:spacing w:before="156" w:beforeLines="50" w:after="156" w:afterLines="50"/>
        <w:jc w:val="both"/>
        <w:outlineLvl w:val="3"/>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6.2.3.6信息发布和舆情引导</w:t>
      </w:r>
    </w:p>
    <w:p>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评估有关事故情况和应急救援工作信息发布的及时性，以及舆情引导的有效性。</w:t>
      </w:r>
    </w:p>
    <w:p>
      <w:pPr>
        <w:keepNext w:val="0"/>
        <w:keepLines w:val="0"/>
        <w:pageBreakBefore w:val="0"/>
        <w:widowControl w:val="0"/>
        <w:numPr>
          <w:ilvl w:val="3"/>
          <w:numId w:val="8"/>
        </w:numPr>
        <w:kinsoku/>
        <w:wordWrap/>
        <w:overflowPunct/>
        <w:topLinePunct w:val="0"/>
        <w:autoSpaceDE/>
        <w:autoSpaceDN/>
        <w:bidi w:val="0"/>
        <w:adjustRightInd/>
        <w:snapToGrid/>
        <w:spacing w:before="156" w:beforeLines="50" w:after="156" w:afterLines="50"/>
        <w:ind w:left="0" w:firstLine="0"/>
        <w:jc w:val="both"/>
        <w:textAlignment w:val="auto"/>
        <w:outlineLvl w:val="2"/>
        <w:rPr>
          <w:rFonts w:ascii="黑体" w:hAnsi="Times New Roman" w:eastAsia="黑体" w:cs="Times New Roman"/>
          <w:sz w:val="21"/>
          <w:lang w:val="en-US" w:eastAsia="zh-CN" w:bidi="ar-SA"/>
        </w:rPr>
      </w:pPr>
      <w:bookmarkStart w:id="177" w:name="_Toc118880738"/>
      <w:r>
        <w:rPr>
          <w:rFonts w:hint="eastAsia" w:ascii="黑体" w:hAnsi="Times New Roman" w:eastAsia="黑体" w:cs="Times New Roman"/>
          <w:sz w:val="21"/>
          <w:lang w:val="en-US" w:eastAsia="zh-CN" w:bidi="ar-SA"/>
        </w:rPr>
        <w:t>应急保障</w:t>
      </w:r>
      <w:bookmarkEnd w:id="177"/>
    </w:p>
    <w:bookmarkEnd w:id="7"/>
    <w:p>
      <w:pPr>
        <w:pStyle w:val="21"/>
        <w:ind w:firstLine="420"/>
      </w:pPr>
      <w:r>
        <w:rPr>
          <w:rFonts w:hint="eastAsia"/>
          <w:lang w:eastAsia="zh-CN"/>
        </w:rPr>
        <w:t>事发地</w:t>
      </w:r>
      <w:r>
        <w:rPr>
          <w:rFonts w:hint="eastAsia"/>
        </w:rPr>
        <w:t>人民政府的应急保障情况</w:t>
      </w:r>
      <w:r>
        <w:rPr>
          <w:rFonts w:hint="eastAsia"/>
          <w:lang w:eastAsia="zh-CN"/>
        </w:rPr>
        <w:t>的评估</w:t>
      </w:r>
      <w:r>
        <w:rPr>
          <w:rFonts w:hint="eastAsia"/>
        </w:rPr>
        <w:t>包括：</w:t>
      </w:r>
    </w:p>
    <w:p>
      <w:pPr>
        <w:pStyle w:val="21"/>
        <w:numPr>
          <w:ilvl w:val="0"/>
          <w:numId w:val="22"/>
        </w:numPr>
        <w:ind w:firstLineChars="0"/>
      </w:pPr>
      <w:r>
        <w:rPr>
          <w:rFonts w:hint="eastAsia"/>
          <w:lang w:eastAsia="zh-CN"/>
        </w:rPr>
        <w:t>专业技术保障情况；</w:t>
      </w:r>
    </w:p>
    <w:p>
      <w:pPr>
        <w:pStyle w:val="21"/>
        <w:numPr>
          <w:ilvl w:val="0"/>
          <w:numId w:val="22"/>
        </w:numPr>
        <w:ind w:firstLineChars="0"/>
      </w:pPr>
      <w:r>
        <w:rPr>
          <w:rFonts w:hint="eastAsia"/>
        </w:rPr>
        <w:t>救援队伍</w:t>
      </w:r>
      <w:r>
        <w:rPr>
          <w:rFonts w:hint="eastAsia"/>
          <w:lang w:eastAsia="zh-CN"/>
        </w:rPr>
        <w:t>及物资装备</w:t>
      </w:r>
      <w:r>
        <w:rPr>
          <w:rFonts w:hint="eastAsia"/>
        </w:rPr>
        <w:t>保障情况</w:t>
      </w:r>
      <w:r>
        <w:rPr>
          <w:rFonts w:hint="eastAsia"/>
          <w:lang w:eastAsia="zh-CN"/>
        </w:rPr>
        <w:t>；</w:t>
      </w:r>
    </w:p>
    <w:p>
      <w:pPr>
        <w:pStyle w:val="21"/>
        <w:numPr>
          <w:ilvl w:val="0"/>
          <w:numId w:val="22"/>
        </w:numPr>
        <w:ind w:firstLineChars="0"/>
      </w:pPr>
      <w:r>
        <w:rPr>
          <w:rFonts w:hint="eastAsia"/>
        </w:rPr>
        <w:t>公安、卫健、电力、通信、供水、燃气、气象、城管、交通部门救援力量及物资装备保障情况。</w:t>
      </w:r>
    </w:p>
    <w:p>
      <w:pPr>
        <w:pStyle w:val="21"/>
        <w:ind w:firstLine="420"/>
      </w:pPr>
    </w:p>
    <w:p>
      <w:pPr>
        <w:pStyle w:val="21"/>
        <w:ind w:firstLine="420"/>
        <w:sectPr>
          <w:headerReference r:id="rId11" w:type="default"/>
          <w:footerReference r:id="rId12" w:type="default"/>
          <w:pgSz w:w="11906" w:h="16838"/>
          <w:pgMar w:top="1871" w:right="1134" w:bottom="1134" w:left="1134" w:header="1418" w:footer="1134" w:gutter="284"/>
          <w:pgNumType w:fmt="decimal" w:start="1"/>
          <w:cols w:space="720" w:num="1"/>
          <w:formProt w:val="0"/>
          <w:docGrid w:type="lines" w:linePitch="312" w:charSpace="0"/>
        </w:sectPr>
      </w:pPr>
    </w:p>
    <w:p>
      <w:pPr>
        <w:pStyle w:val="48"/>
        <w:numPr>
          <w:ilvl w:val="0"/>
          <w:numId w:val="23"/>
        </w:numPr>
        <w:ind w:firstLine="0"/>
        <w:rPr>
          <w:vanish w:val="0"/>
        </w:rPr>
      </w:pPr>
      <w:bookmarkStart w:id="178" w:name="BookMark5"/>
    </w:p>
    <w:p>
      <w:pPr>
        <w:pStyle w:val="45"/>
        <w:numPr>
          <w:ilvl w:val="0"/>
          <w:numId w:val="1"/>
        </w:numPr>
        <w:ind w:firstLine="0"/>
        <w:rPr>
          <w:vanish w:val="0"/>
        </w:rPr>
      </w:pPr>
    </w:p>
    <w:p>
      <w:pPr>
        <w:pStyle w:val="33"/>
        <w:keepNext w:val="0"/>
        <w:keepLines w:val="0"/>
        <w:pageBreakBefore w:val="0"/>
        <w:widowControl/>
        <w:numPr>
          <w:ilvl w:val="0"/>
          <w:numId w:val="4"/>
        </w:numPr>
        <w:kinsoku/>
        <w:wordWrap/>
        <w:overflowPunct/>
        <w:topLinePunct w:val="0"/>
        <w:autoSpaceDE/>
        <w:autoSpaceDN/>
        <w:bidi w:val="0"/>
        <w:adjustRightInd/>
        <w:snapToGrid/>
        <w:spacing w:before="78" w:after="156"/>
        <w:ind w:left="0"/>
        <w:textAlignment w:val="auto"/>
      </w:pPr>
      <w:r>
        <w:br w:type="textWrapping"/>
      </w:r>
      <w:bookmarkStart w:id="179" w:name="_Toc118880739"/>
      <w:bookmarkStart w:id="180" w:name="_Toc118880429"/>
      <w:r>
        <w:rPr>
          <w:rFonts w:hint="eastAsia"/>
        </w:rPr>
        <w:t>（规范性）</w:t>
      </w:r>
      <w:r>
        <w:br w:type="textWrapping"/>
      </w:r>
      <w:r>
        <w:rPr>
          <w:rFonts w:hint="eastAsia"/>
          <w:lang w:eastAsia="zh-CN"/>
        </w:rPr>
        <w:t>生产安全事故</w:t>
      </w:r>
      <w:r>
        <w:rPr>
          <w:rFonts w:hint="eastAsia"/>
          <w:szCs w:val="22"/>
          <w:lang w:eastAsia="zh-CN"/>
        </w:rPr>
        <w:t>应急救援评估表</w:t>
      </w:r>
      <w:bookmarkEnd w:id="179"/>
      <w:bookmarkEnd w:id="180"/>
    </w:p>
    <w:p>
      <w:pPr>
        <w:pStyle w:val="21"/>
        <w:ind w:firstLine="0" w:firstLineChars="0"/>
        <w:jc w:val="center"/>
        <w:rPr>
          <w:rFonts w:ascii="黑体" w:hAnsi="黑体" w:eastAsia="黑体"/>
          <w:sz w:val="18"/>
          <w:szCs w:val="18"/>
        </w:rPr>
      </w:pPr>
      <w:r>
        <w:rPr>
          <w:rFonts w:hint="eastAsia" w:ascii="黑体" w:hAnsi="黑体" w:eastAsia="黑体"/>
          <w:sz w:val="18"/>
          <w:szCs w:val="18"/>
        </w:rPr>
        <w:t>表A.1 事故单位应急救援评估表</w:t>
      </w:r>
    </w:p>
    <w:tbl>
      <w:tblPr>
        <w:tblStyle w:val="14"/>
        <w:tblW w:w="45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998"/>
        <w:gridCol w:w="3713"/>
        <w:gridCol w:w="1964"/>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954" w:type="pct"/>
            <w:gridSpan w:val="2"/>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评估项目</w:t>
            </w:r>
          </w:p>
        </w:tc>
        <w:tc>
          <w:tcPr>
            <w:tcW w:w="2114"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评估内容</w:t>
            </w:r>
          </w:p>
        </w:tc>
        <w:tc>
          <w:tcPr>
            <w:tcW w:w="1118"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可选评估方式</w:t>
            </w:r>
          </w:p>
        </w:tc>
        <w:tc>
          <w:tcPr>
            <w:tcW w:w="812" w:type="pct"/>
            <w:vAlign w:val="center"/>
          </w:tcPr>
          <w:p>
            <w:pPr>
              <w:keepNext w:val="0"/>
              <w:keepLines w:val="0"/>
              <w:pageBreakBefore w:val="0"/>
              <w:widowControl w:val="0"/>
              <w:kinsoku/>
              <w:wordWrap/>
              <w:overflowPunct/>
              <w:topLinePunct w:val="0"/>
              <w:autoSpaceDE/>
              <w:autoSpaceDN/>
              <w:bidi w:val="0"/>
              <w:adjustRightInd w:val="0"/>
              <w:snapToGrid/>
              <w:spacing w:line="220" w:lineRule="exact"/>
              <w:jc w:val="center"/>
              <w:textAlignment w:val="auto"/>
              <w:rPr>
                <w:rFonts w:hint="eastAsia" w:asciiTheme="minorEastAsia" w:hAnsiTheme="minorEastAsia"/>
                <w:b/>
                <w:sz w:val="18"/>
                <w:szCs w:val="18"/>
              </w:rPr>
            </w:pPr>
            <w:r>
              <w:rPr>
                <w:rFonts w:hint="eastAsia" w:asciiTheme="minorEastAsia" w:hAnsiTheme="minorEastAsia"/>
                <w:b/>
                <w:sz w:val="18"/>
                <w:szCs w:val="18"/>
              </w:rPr>
              <w:t>评估结果</w:t>
            </w:r>
          </w:p>
          <w:p>
            <w:pPr>
              <w:keepNext w:val="0"/>
              <w:keepLines w:val="0"/>
              <w:pageBreakBefore w:val="0"/>
              <w:widowControl w:val="0"/>
              <w:kinsoku/>
              <w:wordWrap/>
              <w:overflowPunct/>
              <w:topLinePunct w:val="0"/>
              <w:autoSpaceDE/>
              <w:autoSpaceDN/>
              <w:bidi w:val="0"/>
              <w:adjustRightInd w:val="0"/>
              <w:snapToGrid/>
              <w:spacing w:line="220" w:lineRule="exact"/>
              <w:jc w:val="center"/>
              <w:textAlignment w:val="auto"/>
              <w:rPr>
                <w:rFonts w:hint="eastAsia" w:ascii="等线" w:hAnsi="等线" w:eastAsia="等线" w:cs="Times New Roman"/>
                <w:kern w:val="2"/>
                <w:sz w:val="21"/>
                <w:szCs w:val="24"/>
                <w:lang w:val="en-US" w:eastAsia="zh-CN" w:bidi="ar-SA"/>
              </w:rPr>
            </w:pPr>
            <w:r>
              <w:rPr>
                <w:rFonts w:hint="eastAsia" w:asciiTheme="minorEastAsia" w:hAnsiTheme="minorEastAsia"/>
                <w:b/>
                <w:sz w:val="18"/>
                <w:szCs w:val="18"/>
                <w:lang w:val="en-US" w:eastAsia="zh-CN"/>
              </w:rPr>
              <w:t>（客观性描述）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954" w:type="pct"/>
            <w:gridSpan w:val="2"/>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应急准备</w:t>
            </w:r>
          </w:p>
        </w:tc>
        <w:tc>
          <w:tcPr>
            <w:tcW w:w="2114" w:type="pct"/>
            <w:vAlign w:val="center"/>
          </w:tcPr>
          <w:p>
            <w:pPr>
              <w:snapToGrid w:val="0"/>
              <w:spacing w:before="62" w:beforeLines="20" w:after="62" w:afterLines="20"/>
              <w:rPr>
                <w:rFonts w:asciiTheme="minorEastAsia" w:hAnsiTheme="minorEastAsia" w:eastAsiaTheme="minorEastAsia"/>
                <w:sz w:val="18"/>
                <w:szCs w:val="18"/>
              </w:rPr>
            </w:pPr>
            <w:r>
              <w:rPr>
                <w:rFonts w:asciiTheme="minorEastAsia" w:hAnsiTheme="minorEastAsia" w:eastAsiaTheme="minorEastAsia"/>
                <w:sz w:val="18"/>
                <w:szCs w:val="18"/>
              </w:rPr>
              <w:t>事故单位按GB/T 29639的要求</w:t>
            </w:r>
            <w:r>
              <w:rPr>
                <w:rFonts w:hint="eastAsia" w:asciiTheme="minorEastAsia" w:hAnsiTheme="minorEastAsia" w:eastAsiaTheme="minorEastAsia"/>
                <w:sz w:val="18"/>
                <w:szCs w:val="18"/>
              </w:rPr>
              <w:t>开展风险辨识评估、</w:t>
            </w:r>
            <w:r>
              <w:rPr>
                <w:rFonts w:asciiTheme="minorEastAsia" w:hAnsiTheme="minorEastAsia" w:eastAsiaTheme="minorEastAsia"/>
                <w:sz w:val="18"/>
                <w:szCs w:val="18"/>
              </w:rPr>
              <w:t>编制应急预案情况，预案是否有针对性和可操作性，预案备案情况</w:t>
            </w:r>
          </w:p>
        </w:tc>
        <w:tc>
          <w:tcPr>
            <w:tcW w:w="1118"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954" w:type="pct"/>
            <w:gridSpan w:val="2"/>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114" w:type="pct"/>
            <w:vAlign w:val="center"/>
          </w:tcPr>
          <w:p>
            <w:pPr>
              <w:snapToGrid w:val="0"/>
              <w:spacing w:before="62" w:beforeLines="20" w:after="62" w:afterLines="20"/>
              <w:rPr>
                <w:rFonts w:asciiTheme="minorEastAsia" w:hAnsiTheme="minorEastAsia" w:eastAsiaTheme="minorEastAsia"/>
                <w:sz w:val="18"/>
                <w:szCs w:val="18"/>
              </w:rPr>
            </w:pPr>
            <w:r>
              <w:rPr>
                <w:rFonts w:asciiTheme="minorEastAsia" w:hAnsiTheme="minorEastAsia" w:eastAsiaTheme="minorEastAsia"/>
                <w:sz w:val="18"/>
                <w:szCs w:val="18"/>
              </w:rPr>
              <w:t>事故</w:t>
            </w:r>
            <w:r>
              <w:rPr>
                <w:rFonts w:hint="eastAsia" w:asciiTheme="minorEastAsia" w:hAnsiTheme="minorEastAsia" w:eastAsiaTheme="minorEastAsia"/>
                <w:sz w:val="18"/>
                <w:szCs w:val="18"/>
              </w:rPr>
              <w:t>单位按照</w:t>
            </w:r>
            <w:r>
              <w:rPr>
                <w:rFonts w:asciiTheme="minorEastAsia" w:hAnsiTheme="minorEastAsia" w:eastAsiaTheme="minorEastAsia"/>
                <w:sz w:val="18"/>
                <w:szCs w:val="18"/>
              </w:rPr>
              <w:t>AQ/T</w:t>
            </w: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9007</w:t>
            </w:r>
            <w:r>
              <w:rPr>
                <w:rFonts w:hint="eastAsia" w:asciiTheme="minorEastAsia" w:hAnsiTheme="minorEastAsia" w:eastAsiaTheme="minorEastAsia"/>
                <w:sz w:val="18"/>
                <w:szCs w:val="18"/>
              </w:rPr>
              <w:t>要求开展应急演练和按照AQ/T 9009开展演练评估情况</w:t>
            </w:r>
          </w:p>
        </w:tc>
        <w:tc>
          <w:tcPr>
            <w:tcW w:w="1118"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954" w:type="pct"/>
            <w:gridSpan w:val="2"/>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114"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事故单位建立</w:t>
            </w:r>
            <w:r>
              <w:rPr>
                <w:rFonts w:hint="eastAsia" w:asciiTheme="minorEastAsia" w:hAnsiTheme="minorEastAsia" w:eastAsiaTheme="minorEastAsia"/>
                <w:sz w:val="18"/>
                <w:szCs w:val="18"/>
                <w:lang w:eastAsia="zh-CN"/>
              </w:rPr>
              <w:t>专（兼）职</w:t>
            </w:r>
            <w:r>
              <w:rPr>
                <w:rFonts w:hint="eastAsia" w:asciiTheme="minorEastAsia" w:hAnsiTheme="minorEastAsia" w:eastAsiaTheme="minorEastAsia"/>
                <w:sz w:val="18"/>
                <w:szCs w:val="18"/>
              </w:rPr>
              <w:t>应急救援队伍</w:t>
            </w:r>
            <w:r>
              <w:rPr>
                <w:rFonts w:hint="eastAsia" w:asciiTheme="minorEastAsia" w:hAnsiTheme="minorEastAsia" w:eastAsiaTheme="minorEastAsia"/>
                <w:sz w:val="18"/>
                <w:szCs w:val="18"/>
                <w:lang w:eastAsia="zh-CN"/>
              </w:rPr>
              <w:t>（人员）</w:t>
            </w:r>
            <w:r>
              <w:rPr>
                <w:rFonts w:hint="eastAsia" w:asciiTheme="minorEastAsia" w:hAnsiTheme="minorEastAsia" w:eastAsiaTheme="minorEastAsia"/>
                <w:sz w:val="18"/>
                <w:szCs w:val="18"/>
              </w:rPr>
              <w:t>、</w:t>
            </w:r>
            <w:r>
              <w:rPr>
                <w:rFonts w:hint="eastAsia" w:asciiTheme="minorEastAsia" w:hAnsiTheme="minorEastAsia" w:eastAsiaTheme="minorEastAsia"/>
                <w:sz w:val="18"/>
                <w:szCs w:val="18"/>
                <w:lang w:eastAsia="zh-CN"/>
              </w:rPr>
              <w:t>按规定配备值班人员</w:t>
            </w:r>
            <w:r>
              <w:rPr>
                <w:rFonts w:hint="eastAsia" w:asciiTheme="minorEastAsia" w:hAnsiTheme="minorEastAsia" w:eastAsiaTheme="minorEastAsia"/>
                <w:sz w:val="18"/>
                <w:szCs w:val="18"/>
              </w:rPr>
              <w:t>和开展应急知识宣传教育培训情况</w:t>
            </w:r>
          </w:p>
        </w:tc>
        <w:tc>
          <w:tcPr>
            <w:tcW w:w="1118"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54" w:type="pct"/>
            <w:gridSpan w:val="2"/>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114"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事故单位应急组织架构、应急</w:t>
            </w:r>
            <w:r>
              <w:rPr>
                <w:rFonts w:hint="eastAsia" w:asciiTheme="minorEastAsia" w:hAnsiTheme="minorEastAsia" w:eastAsiaTheme="minorEastAsia"/>
                <w:sz w:val="18"/>
                <w:szCs w:val="18"/>
                <w:lang w:eastAsia="zh-CN"/>
              </w:rPr>
              <w:t>装备设施与</w:t>
            </w:r>
            <w:r>
              <w:rPr>
                <w:rFonts w:hint="eastAsia" w:asciiTheme="minorEastAsia" w:hAnsiTheme="minorEastAsia" w:eastAsiaTheme="minorEastAsia"/>
                <w:sz w:val="18"/>
                <w:szCs w:val="18"/>
              </w:rPr>
              <w:t>物资保障情况</w:t>
            </w:r>
          </w:p>
        </w:tc>
        <w:tc>
          <w:tcPr>
            <w:tcW w:w="1118"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954" w:type="pct"/>
            <w:gridSpan w:val="2"/>
            <w:vAlign w:val="center"/>
          </w:tcPr>
          <w:p>
            <w:pPr>
              <w:snapToGrid w:val="0"/>
              <w:spacing w:before="156" w:beforeLines="50" w:after="156" w:afterLines="50"/>
              <w:jc w:val="center"/>
              <w:rPr>
                <w:rFonts w:asciiTheme="minorEastAsia" w:hAnsiTheme="minorEastAsia" w:eastAsiaTheme="minorEastAsia"/>
                <w:sz w:val="18"/>
                <w:szCs w:val="18"/>
              </w:rPr>
            </w:pPr>
            <w:r>
              <w:rPr>
                <w:rFonts w:asciiTheme="minorEastAsia" w:hAnsiTheme="minorEastAsia" w:eastAsiaTheme="minorEastAsia"/>
                <w:sz w:val="18"/>
                <w:szCs w:val="18"/>
              </w:rPr>
              <w:t>预警</w:t>
            </w:r>
          </w:p>
        </w:tc>
        <w:tc>
          <w:tcPr>
            <w:tcW w:w="2114"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事故单位</w:t>
            </w:r>
            <w:r>
              <w:rPr>
                <w:rFonts w:hint="eastAsia" w:asciiTheme="minorEastAsia" w:hAnsiTheme="minorEastAsia" w:eastAsiaTheme="minorEastAsia"/>
                <w:sz w:val="18"/>
                <w:szCs w:val="18"/>
                <w:lang w:eastAsia="zh-CN"/>
              </w:rPr>
              <w:t>安全生产风险监测预警装置或系统发出警报信息情况，以及事故单位针对警情所采取相关措施情况</w:t>
            </w:r>
          </w:p>
        </w:tc>
        <w:tc>
          <w:tcPr>
            <w:tcW w:w="1118"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386" w:type="pct"/>
            <w:vMerge w:val="restart"/>
            <w:vAlign w:val="center"/>
          </w:tcPr>
          <w:p>
            <w:pPr>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应急响应</w:t>
            </w:r>
          </w:p>
        </w:tc>
        <w:tc>
          <w:tcPr>
            <w:tcW w:w="568" w:type="pct"/>
            <w:vMerge w:val="restart"/>
            <w:vAlign w:val="center"/>
          </w:tcPr>
          <w:p>
            <w:pPr>
              <w:snapToGrid w:val="0"/>
              <w:spacing w:before="31" w:beforeLines="10" w:after="31" w:afterLines="1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信息</w:t>
            </w:r>
          </w:p>
          <w:p>
            <w:pPr>
              <w:snapToGrid w:val="0"/>
              <w:spacing w:before="31" w:beforeLines="10" w:after="31" w:afterLines="1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报送</w:t>
            </w: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事故发生后，事故现场人员按规定报告本单位负责人情况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386" w:type="pct"/>
            <w:vMerge w:val="continue"/>
            <w:vAlign w:val="center"/>
          </w:tcPr>
          <w:p>
            <w:pPr>
              <w:spacing w:before="156" w:beforeLines="50" w:after="156" w:afterLines="50" w:line="440" w:lineRule="exact"/>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事故单位按规定报告政府</w:t>
            </w:r>
            <w:r>
              <w:rPr>
                <w:rFonts w:hint="eastAsia" w:asciiTheme="minorEastAsia" w:hAnsiTheme="minorEastAsia" w:eastAsiaTheme="minorEastAsia"/>
                <w:sz w:val="18"/>
                <w:szCs w:val="18"/>
                <w:lang w:eastAsia="zh-CN"/>
              </w:rPr>
              <w:t>相关</w:t>
            </w:r>
            <w:r>
              <w:rPr>
                <w:rFonts w:hint="eastAsia" w:asciiTheme="minorEastAsia" w:hAnsiTheme="minorEastAsia" w:eastAsiaTheme="minorEastAsia"/>
                <w:sz w:val="18"/>
                <w:szCs w:val="18"/>
              </w:rPr>
              <w:t>部门情况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386" w:type="pct"/>
            <w:vMerge w:val="continue"/>
            <w:vAlign w:val="center"/>
          </w:tcPr>
          <w:p>
            <w:pPr>
              <w:spacing w:before="156" w:beforeLines="50" w:after="156" w:afterLines="50" w:line="440" w:lineRule="exact"/>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事故单位信息报送的及时、准确、完整情况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386" w:type="pct"/>
            <w:vMerge w:val="continue"/>
            <w:vAlign w:val="center"/>
          </w:tcPr>
          <w:p>
            <w:pPr>
              <w:spacing w:before="156" w:beforeLines="50" w:after="156" w:afterLines="50" w:line="440" w:lineRule="exact"/>
              <w:jc w:val="center"/>
              <w:rPr>
                <w:rFonts w:asciiTheme="minorEastAsia" w:hAnsiTheme="minorEastAsia" w:eastAsiaTheme="minorEastAsia"/>
                <w:sz w:val="18"/>
                <w:szCs w:val="18"/>
              </w:rPr>
            </w:pPr>
          </w:p>
        </w:tc>
        <w:tc>
          <w:tcPr>
            <w:tcW w:w="568" w:type="pct"/>
            <w:vMerge w:val="restart"/>
            <w:vAlign w:val="center"/>
          </w:tcPr>
          <w:p>
            <w:pPr>
              <w:snapToGrid w:val="0"/>
              <w:spacing w:before="31" w:beforeLines="10" w:after="31" w:afterLines="1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先期</w:t>
            </w:r>
          </w:p>
          <w:p>
            <w:pPr>
              <w:snapToGrid w:val="0"/>
              <w:spacing w:before="31" w:beforeLines="10" w:after="31" w:afterLines="1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处置</w:t>
            </w: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事故单位启动应急救援预案情况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386" w:type="pct"/>
            <w:vMerge w:val="continue"/>
            <w:vAlign w:val="center"/>
          </w:tcPr>
          <w:p>
            <w:pPr>
              <w:spacing w:before="156" w:beforeLines="50" w:after="156" w:afterLines="50" w:line="440" w:lineRule="exact"/>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事故单位迅速采取有效措施控制危险源，组织抢救遇险人员，防止事故危害扩大情况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386" w:type="pct"/>
            <w:vMerge w:val="continue"/>
            <w:vAlign w:val="center"/>
          </w:tcPr>
          <w:p>
            <w:pPr>
              <w:spacing w:before="156" w:beforeLines="50" w:after="156" w:afterLines="50" w:line="440" w:lineRule="exact"/>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事故单位组织营救被困人员，疏散、撤离、安置受到威胁的人员情况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86" w:type="pct"/>
            <w:vMerge w:val="continue"/>
            <w:vAlign w:val="center"/>
          </w:tcPr>
          <w:p>
            <w:pPr>
              <w:spacing w:before="156" w:beforeLines="50" w:after="156" w:afterLines="50" w:line="440" w:lineRule="exact"/>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事故单位及时通知可能受到事故影响的单位和人员情况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386" w:type="pct"/>
            <w:vMerge w:val="continue"/>
            <w:vAlign w:val="center"/>
          </w:tcPr>
          <w:p>
            <w:pPr>
              <w:spacing w:before="156" w:beforeLines="50" w:after="156" w:afterLines="50"/>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事故单位采取措施防范次生、衍生事故的情况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资料分析、询问谈话、专家论证、现场勘查、技术鉴定</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86" w:type="pct"/>
            <w:vMerge w:val="continue"/>
            <w:vAlign w:val="center"/>
          </w:tcPr>
          <w:p>
            <w:pPr>
              <w:spacing w:before="156" w:beforeLines="50" w:after="156" w:afterLines="50"/>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事故单位请求邻近的应急救援队伍参加救援并支持配合救援队伍情况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86" w:type="pct"/>
            <w:vMerge w:val="continue"/>
            <w:vAlign w:val="center"/>
          </w:tcPr>
          <w:p>
            <w:pPr>
              <w:spacing w:before="156" w:beforeLines="50" w:after="156" w:afterLines="50"/>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维护事故现场秩序，保护事故现场和证据情况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资料分析、现场勘查、技术鉴定</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386" w:type="pct"/>
            <w:vMerge w:val="restart"/>
            <w:vAlign w:val="center"/>
          </w:tcPr>
          <w:p>
            <w:pPr>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配合现场开展救援工作</w:t>
            </w:r>
          </w:p>
        </w:tc>
        <w:tc>
          <w:tcPr>
            <w:tcW w:w="568" w:type="pct"/>
            <w:vAlign w:val="center"/>
          </w:tcPr>
          <w:p>
            <w:pPr>
              <w:snapToGrid w:val="0"/>
              <w:spacing w:before="31" w:beforeLines="10" w:after="31" w:afterLines="1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w:t>
            </w:r>
          </w:p>
          <w:p>
            <w:pPr>
              <w:snapToGrid w:val="0"/>
              <w:spacing w:before="31" w:beforeLines="10" w:after="31" w:afterLines="1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联动</w:t>
            </w: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事故单位积极配合和支持前来救援的队伍开展救援行动情况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资料分析、询问谈话、专家论证、现场勘查</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86" w:type="pct"/>
            <w:vMerge w:val="continue"/>
            <w:vAlign w:val="center"/>
          </w:tcPr>
          <w:p>
            <w:pPr>
              <w:spacing w:before="156" w:beforeLines="50" w:after="156" w:afterLines="50"/>
              <w:jc w:val="center"/>
              <w:rPr>
                <w:rFonts w:asciiTheme="minorEastAsia" w:hAnsiTheme="minorEastAsia" w:eastAsiaTheme="minorEastAsia"/>
                <w:sz w:val="18"/>
                <w:szCs w:val="18"/>
              </w:rPr>
            </w:pPr>
          </w:p>
        </w:tc>
        <w:tc>
          <w:tcPr>
            <w:tcW w:w="568" w:type="pct"/>
            <w:vMerge w:val="restart"/>
            <w:vAlign w:val="center"/>
          </w:tcPr>
          <w:p>
            <w:pPr>
              <w:snapToGrid w:val="0"/>
              <w:spacing w:before="31" w:beforeLines="10" w:after="31" w:afterLines="1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现场</w:t>
            </w:r>
          </w:p>
          <w:p>
            <w:pPr>
              <w:snapToGrid w:val="0"/>
              <w:spacing w:before="31" w:beforeLines="10" w:after="31" w:afterLines="1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管理</w:t>
            </w: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事故单位采取有效措施维护现场秩序情况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资料分析、询问谈话、专家论证、现场勘查</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386" w:type="pct"/>
            <w:vMerge w:val="continue"/>
            <w:vAlign w:val="center"/>
          </w:tcPr>
          <w:p>
            <w:pPr>
              <w:spacing w:before="156" w:beforeLines="50" w:after="156" w:afterLines="50"/>
              <w:jc w:val="center"/>
              <w:rPr>
                <w:rFonts w:asciiTheme="minorEastAsia" w:hAnsiTheme="minorEastAsia" w:eastAsiaTheme="minorEastAsia"/>
                <w:sz w:val="18"/>
                <w:szCs w:val="18"/>
              </w:rPr>
            </w:pPr>
          </w:p>
        </w:tc>
        <w:tc>
          <w:tcPr>
            <w:tcW w:w="568" w:type="pct"/>
            <w:vMerge w:val="continue"/>
            <w:vAlign w:val="center"/>
          </w:tcPr>
          <w:p>
            <w:pPr>
              <w:snapToGrid w:val="0"/>
              <w:spacing w:before="31" w:beforeLines="10" w:after="31" w:afterLines="10"/>
              <w:jc w:val="center"/>
              <w:rPr>
                <w:rFonts w:asciiTheme="minorEastAsia" w:hAnsiTheme="minorEastAsia" w:eastAsiaTheme="minorEastAsia"/>
                <w:sz w:val="18"/>
                <w:szCs w:val="18"/>
              </w:rPr>
            </w:pPr>
          </w:p>
        </w:tc>
        <w:tc>
          <w:tcPr>
            <w:tcW w:w="2114"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事故单位保护好现场和证据情况</w:t>
            </w:r>
          </w:p>
        </w:tc>
        <w:tc>
          <w:tcPr>
            <w:tcW w:w="1118" w:type="pct"/>
            <w:vAlign w:val="center"/>
          </w:tcPr>
          <w:p>
            <w:pPr>
              <w:snapToGrid w:val="0"/>
              <w:spacing w:before="31" w:beforeLines="10" w:after="31" w:afterLines="1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资料分析、询问谈话、现场勘查、技术鉴定</w:t>
            </w:r>
          </w:p>
        </w:tc>
        <w:tc>
          <w:tcPr>
            <w:tcW w:w="812" w:type="pct"/>
            <w:vAlign w:val="center"/>
          </w:tcPr>
          <w:p>
            <w:pPr>
              <w:snapToGrid w:val="0"/>
              <w:spacing w:before="62" w:beforeLines="20" w:after="62" w:afterLines="20"/>
              <w:rPr>
                <w:rFonts w:asciiTheme="minorEastAsia" w:hAnsiTheme="minorEastAsia" w:eastAsiaTheme="minorEastAsia"/>
                <w:sz w:val="18"/>
                <w:szCs w:val="18"/>
              </w:rPr>
            </w:pPr>
          </w:p>
        </w:tc>
      </w:tr>
    </w:tbl>
    <w:p>
      <w:pPr>
        <w:jc w:val="center"/>
        <w:rPr>
          <w:rFonts w:ascii="黑体" w:hAnsi="黑体" w:eastAsia="黑体"/>
          <w:sz w:val="18"/>
          <w:szCs w:val="18"/>
        </w:rPr>
      </w:pPr>
    </w:p>
    <w:p>
      <w:pPr>
        <w:pStyle w:val="21"/>
        <w:ind w:firstLine="0" w:firstLineChars="0"/>
        <w:jc w:val="center"/>
        <w:rPr>
          <w:sz w:val="18"/>
          <w:szCs w:val="18"/>
        </w:rPr>
      </w:pPr>
      <w:r>
        <w:rPr>
          <w:rFonts w:hint="eastAsia" w:ascii="黑体" w:hAnsi="黑体" w:eastAsia="黑体"/>
          <w:sz w:val="18"/>
          <w:szCs w:val="18"/>
        </w:rPr>
        <w:t>表A.1</w:t>
      </w:r>
      <w:r>
        <w:rPr>
          <w:rFonts w:hint="eastAsia" w:asciiTheme="minorEastAsia" w:hAnsiTheme="minorEastAsia" w:eastAsiaTheme="minorEastAsia"/>
          <w:sz w:val="18"/>
          <w:szCs w:val="18"/>
        </w:rPr>
        <w:t>（续）</w:t>
      </w:r>
    </w:p>
    <w:tbl>
      <w:tblPr>
        <w:tblStyle w:val="14"/>
        <w:tblW w:w="468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7"/>
        <w:gridCol w:w="3704"/>
        <w:gridCol w:w="1950"/>
        <w:gridCol w:w="15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97"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评估项目</w:t>
            </w:r>
          </w:p>
        </w:tc>
        <w:tc>
          <w:tcPr>
            <w:tcW w:w="2066"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评估内容</w:t>
            </w:r>
          </w:p>
        </w:tc>
        <w:tc>
          <w:tcPr>
            <w:tcW w:w="1088"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可选评估方式</w:t>
            </w:r>
          </w:p>
        </w:tc>
        <w:tc>
          <w:tcPr>
            <w:tcW w:w="846" w:type="pct"/>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eastAsia" w:asciiTheme="minorEastAsia" w:hAnsiTheme="minorEastAsia" w:eastAsiaTheme="minorEastAsia"/>
                <w:b/>
                <w:sz w:val="18"/>
                <w:szCs w:val="18"/>
              </w:rPr>
            </w:pPr>
            <w:r>
              <w:rPr>
                <w:rFonts w:hint="eastAsia" w:asciiTheme="minorEastAsia" w:hAnsiTheme="minorEastAsia" w:eastAsiaTheme="minorEastAsia"/>
                <w:b/>
                <w:sz w:val="18"/>
                <w:szCs w:val="18"/>
              </w:rPr>
              <w:t>评估结果</w:t>
            </w:r>
          </w:p>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asciiTheme="minorEastAsia" w:hAnsiTheme="minorEastAsia" w:eastAsiaTheme="minorEastAsia"/>
                <w:b/>
                <w:sz w:val="18"/>
                <w:szCs w:val="18"/>
              </w:rPr>
            </w:pPr>
            <w:r>
              <w:rPr>
                <w:rFonts w:hint="eastAsia" w:asciiTheme="minorEastAsia" w:hAnsiTheme="minorEastAsia" w:eastAsiaTheme="minorEastAsia"/>
                <w:b/>
                <w:sz w:val="18"/>
                <w:szCs w:val="18"/>
                <w:lang w:eastAsia="zh-CN"/>
              </w:rPr>
              <w:t>（客观性描述）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97"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应急保障</w:t>
            </w:r>
          </w:p>
        </w:tc>
        <w:tc>
          <w:tcPr>
            <w:tcW w:w="2066" w:type="pct"/>
            <w:vAlign w:val="center"/>
          </w:tcPr>
          <w:p>
            <w:pPr>
              <w:pStyle w:val="21"/>
              <w:numPr>
                <w:ilvl w:val="0"/>
                <w:numId w:val="0"/>
              </w:numPr>
              <w:rPr>
                <w:rFonts w:asciiTheme="minorEastAsia" w:hAnsiTheme="minorEastAsia" w:eastAsiaTheme="minorEastAsia"/>
                <w:sz w:val="18"/>
                <w:szCs w:val="18"/>
              </w:rPr>
            </w:pPr>
            <w:r>
              <w:rPr>
                <w:rFonts w:hint="eastAsia" w:cs="Times New Roman" w:asciiTheme="minorEastAsia" w:hAnsiTheme="minorEastAsia" w:eastAsiaTheme="minorEastAsia"/>
                <w:kern w:val="2"/>
                <w:sz w:val="18"/>
                <w:szCs w:val="18"/>
                <w:lang w:val="en-US" w:eastAsia="zh-CN" w:bidi="ar-SA"/>
              </w:rPr>
              <w:t>专业技术保障情况</w:t>
            </w:r>
          </w:p>
        </w:tc>
        <w:tc>
          <w:tcPr>
            <w:tcW w:w="1088"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46"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7"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206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救援队伍及物资装备保障情况</w:t>
            </w:r>
          </w:p>
        </w:tc>
        <w:tc>
          <w:tcPr>
            <w:tcW w:w="1088"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46" w:type="pct"/>
            <w:vAlign w:val="center"/>
          </w:tcPr>
          <w:p>
            <w:pPr>
              <w:snapToGrid w:val="0"/>
              <w:spacing w:before="62" w:beforeLines="20" w:after="62" w:afterLines="20"/>
              <w:rPr>
                <w:rFonts w:asciiTheme="minorEastAsia" w:hAnsiTheme="minorEastAsia" w:eastAsiaTheme="minorEastAsia"/>
                <w:sz w:val="18"/>
                <w:szCs w:val="18"/>
              </w:rPr>
            </w:pPr>
          </w:p>
        </w:tc>
      </w:tr>
    </w:tbl>
    <w:p>
      <w:pPr>
        <w:pStyle w:val="21"/>
        <w:ind w:firstLine="199" w:firstLineChars="95"/>
        <w:sectPr>
          <w:pgSz w:w="11906" w:h="16838"/>
          <w:pgMar w:top="1134" w:right="1134" w:bottom="1134" w:left="1134" w:header="1418" w:footer="1134" w:gutter="284"/>
          <w:pgNumType w:fmt="decimal"/>
          <w:cols w:space="720" w:num="1"/>
          <w:formProt w:val="0"/>
          <w:docGrid w:type="lines" w:linePitch="312" w:charSpace="0"/>
        </w:sectPr>
      </w:pPr>
    </w:p>
    <w:p>
      <w:pPr>
        <w:pStyle w:val="21"/>
        <w:ind w:firstLine="360"/>
        <w:jc w:val="center"/>
        <w:rPr>
          <w:rFonts w:ascii="黑体" w:hAnsi="黑体" w:eastAsia="黑体"/>
          <w:sz w:val="18"/>
          <w:szCs w:val="18"/>
        </w:rPr>
      </w:pPr>
      <w:r>
        <w:rPr>
          <w:rFonts w:hint="eastAsia" w:ascii="黑体" w:hAnsi="黑体" w:eastAsia="黑体"/>
          <w:sz w:val="18"/>
          <w:szCs w:val="18"/>
        </w:rPr>
        <w:t>表</w:t>
      </w:r>
      <w:r>
        <w:rPr>
          <w:rFonts w:ascii="黑体" w:hAnsi="黑体" w:eastAsia="黑体"/>
          <w:sz w:val="18"/>
          <w:szCs w:val="18"/>
        </w:rPr>
        <w:t>A.</w:t>
      </w:r>
      <w:r>
        <w:rPr>
          <w:rFonts w:hint="eastAsia" w:ascii="黑体" w:hAnsi="黑体" w:eastAsia="黑体"/>
          <w:sz w:val="18"/>
          <w:szCs w:val="18"/>
        </w:rPr>
        <w:t>2</w:t>
      </w:r>
      <w:r>
        <w:rPr>
          <w:rFonts w:ascii="黑体" w:hAnsi="黑体" w:eastAsia="黑体"/>
          <w:sz w:val="18"/>
          <w:szCs w:val="18"/>
        </w:rPr>
        <w:t xml:space="preserve"> </w:t>
      </w:r>
      <w:r>
        <w:rPr>
          <w:rFonts w:hint="eastAsia" w:ascii="黑体" w:hAnsi="黑体" w:eastAsia="黑体"/>
          <w:sz w:val="18"/>
          <w:szCs w:val="18"/>
        </w:rPr>
        <w:t>事发地人民政府</w:t>
      </w:r>
      <w:r>
        <w:rPr>
          <w:rFonts w:ascii="黑体" w:hAnsi="黑体" w:eastAsia="黑体"/>
          <w:sz w:val="18"/>
          <w:szCs w:val="18"/>
        </w:rPr>
        <w:t>应急救援评估表</w:t>
      </w:r>
    </w:p>
    <w:tbl>
      <w:tblPr>
        <w:tblStyle w:val="14"/>
        <w:tblW w:w="46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898"/>
        <w:gridCol w:w="3712"/>
        <w:gridCol w:w="1962"/>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jc w:val="center"/>
        </w:trPr>
        <w:tc>
          <w:tcPr>
            <w:tcW w:w="972" w:type="pct"/>
            <w:gridSpan w:val="2"/>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评估项目</w:t>
            </w:r>
          </w:p>
        </w:tc>
        <w:tc>
          <w:tcPr>
            <w:tcW w:w="2092"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评估内容</w:t>
            </w:r>
          </w:p>
        </w:tc>
        <w:tc>
          <w:tcPr>
            <w:tcW w:w="1106"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可选评估方式</w:t>
            </w:r>
          </w:p>
        </w:tc>
        <w:tc>
          <w:tcPr>
            <w:tcW w:w="828" w:type="pct"/>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eastAsia" w:asciiTheme="minorEastAsia" w:hAnsiTheme="minorEastAsia" w:eastAsiaTheme="minorEastAsia"/>
                <w:b/>
                <w:sz w:val="18"/>
                <w:szCs w:val="18"/>
              </w:rPr>
            </w:pPr>
            <w:r>
              <w:rPr>
                <w:rFonts w:hint="eastAsia" w:asciiTheme="minorEastAsia" w:hAnsiTheme="minorEastAsia" w:eastAsiaTheme="minorEastAsia"/>
                <w:b/>
                <w:sz w:val="18"/>
                <w:szCs w:val="18"/>
              </w:rPr>
              <w:t>评估结果</w:t>
            </w:r>
          </w:p>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asciiTheme="minorEastAsia" w:hAnsiTheme="minorEastAsia" w:eastAsiaTheme="minorEastAsia"/>
                <w:b/>
                <w:sz w:val="18"/>
                <w:szCs w:val="18"/>
              </w:rPr>
            </w:pPr>
            <w:r>
              <w:rPr>
                <w:rFonts w:hint="eastAsia" w:asciiTheme="minorEastAsia" w:hAnsiTheme="minorEastAsia" w:eastAsiaTheme="minorEastAsia"/>
                <w:b/>
                <w:sz w:val="18"/>
                <w:szCs w:val="18"/>
                <w:lang w:eastAsia="zh-CN"/>
              </w:rPr>
              <w:t>（客观性描述）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72" w:type="pct"/>
            <w:gridSpan w:val="2"/>
            <w:vMerge w:val="restart"/>
            <w:vAlign w:val="center"/>
          </w:tcPr>
          <w:p>
            <w:pPr>
              <w:snapToGrid w:val="0"/>
              <w:spacing w:before="62" w:beforeLines="20" w:after="62" w:afterLines="20"/>
              <w:jc w:val="left"/>
              <w:rPr>
                <w:rFonts w:asciiTheme="minorEastAsia" w:hAnsiTheme="minorEastAsia" w:eastAsiaTheme="minorEastAsia"/>
                <w:sz w:val="18"/>
                <w:szCs w:val="18"/>
              </w:rPr>
            </w:pPr>
            <w:r>
              <w:rPr>
                <w:rFonts w:hint="eastAsia" w:asciiTheme="minorEastAsia" w:hAnsiTheme="minorEastAsia" w:eastAsiaTheme="minorEastAsia"/>
                <w:sz w:val="18"/>
                <w:szCs w:val="18"/>
              </w:rPr>
              <w:t>应急准备</w:t>
            </w: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事发地</w:t>
            </w:r>
            <w:r>
              <w:rPr>
                <w:rFonts w:hint="eastAsia" w:asciiTheme="minorEastAsia" w:hAnsiTheme="minorEastAsia" w:eastAsiaTheme="minorEastAsia"/>
                <w:sz w:val="18"/>
                <w:szCs w:val="18"/>
              </w:rPr>
              <w:t>人民政府应急组织机构设置、人员编制、职责界定，以及应急救援专家组建立情况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72" w:type="pct"/>
            <w:gridSpan w:val="2"/>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事发地</w:t>
            </w:r>
            <w:r>
              <w:rPr>
                <w:rFonts w:hint="eastAsia" w:asciiTheme="minorEastAsia" w:hAnsiTheme="minorEastAsia" w:eastAsiaTheme="minorEastAsia"/>
                <w:sz w:val="18"/>
                <w:szCs w:val="18"/>
              </w:rPr>
              <w:t>人民政府编制和修订应急预案情况，查看应急预案的针对性、可操作性和要素完整有效情况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72" w:type="pct"/>
            <w:gridSpan w:val="2"/>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lang w:eastAsia="zh-CN"/>
              </w:rPr>
              <w:t>事发地</w:t>
            </w:r>
            <w:r>
              <w:rPr>
                <w:rFonts w:hint="eastAsia" w:asciiTheme="minorEastAsia" w:hAnsiTheme="minorEastAsia" w:eastAsiaTheme="minorEastAsia"/>
                <w:sz w:val="18"/>
                <w:szCs w:val="18"/>
              </w:rPr>
              <w:t>人民政府及</w:t>
            </w:r>
            <w:r>
              <w:rPr>
                <w:rFonts w:hint="eastAsia" w:asciiTheme="minorEastAsia" w:hAnsiTheme="minorEastAsia" w:eastAsiaTheme="minorEastAsia"/>
                <w:sz w:val="18"/>
                <w:szCs w:val="18"/>
                <w:lang w:eastAsia="zh-CN"/>
              </w:rPr>
              <w:t>相关</w:t>
            </w:r>
            <w:r>
              <w:rPr>
                <w:rFonts w:hint="eastAsia" w:asciiTheme="minorEastAsia" w:hAnsiTheme="minorEastAsia" w:eastAsiaTheme="minorEastAsia"/>
                <w:sz w:val="18"/>
                <w:szCs w:val="18"/>
              </w:rPr>
              <w:t>部门组织开展应急演练情况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72" w:type="pct"/>
            <w:gridSpan w:val="2"/>
            <w:vMerge w:val="continue"/>
            <w:vAlign w:val="center"/>
          </w:tcPr>
          <w:p>
            <w:pPr>
              <w:pStyle w:val="21"/>
              <w:ind w:left="840" w:firstLine="0" w:firstLineChars="0"/>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应急知识宣传教育培训情况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972" w:type="pct"/>
            <w:gridSpan w:val="2"/>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应急值班制度和应急值班人员落实情况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972" w:type="pct"/>
            <w:gridSpan w:val="2"/>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应急救援队伍建设、日常训练情况以及应急救援队伍人员具备必要的专业知识、技能、身体素质和心理素质情况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6"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w:t>
            </w:r>
          </w:p>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响应</w:t>
            </w:r>
          </w:p>
        </w:tc>
        <w:tc>
          <w:tcPr>
            <w:tcW w:w="506" w:type="pct"/>
            <w:vMerge w:val="restart"/>
            <w:vAlign w:val="center"/>
          </w:tcPr>
          <w:p>
            <w:pPr>
              <w:snapToGrid w:val="0"/>
              <w:spacing w:before="156" w:beforeLines="50" w:after="156" w:afterLines="50"/>
              <w:rPr>
                <w:rFonts w:asciiTheme="minorEastAsia" w:hAnsiTheme="minorEastAsia" w:eastAsiaTheme="minorEastAsia"/>
                <w:sz w:val="18"/>
                <w:szCs w:val="18"/>
              </w:rPr>
            </w:pPr>
            <w:r>
              <w:rPr>
                <w:rFonts w:hint="eastAsia" w:asciiTheme="minorEastAsia" w:hAnsiTheme="minorEastAsia" w:eastAsiaTheme="minorEastAsia"/>
                <w:sz w:val="18"/>
                <w:szCs w:val="18"/>
              </w:rPr>
              <w:t>信息接收、流转和报送</w:t>
            </w: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事故信息接收的及时性</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上报信息及时性和准确性</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信息报告的内容完整性</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信息在部门间的共享情况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启动响应</w:t>
            </w: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事故发生后，</w:t>
            </w:r>
            <w:r>
              <w:rPr>
                <w:rFonts w:hint="eastAsia" w:asciiTheme="minorEastAsia" w:hAnsiTheme="minorEastAsia" w:eastAsiaTheme="minorEastAsia"/>
                <w:sz w:val="18"/>
                <w:szCs w:val="18"/>
                <w:lang w:eastAsia="zh-CN"/>
              </w:rPr>
              <w:t>事发地</w:t>
            </w:r>
            <w:r>
              <w:rPr>
                <w:rFonts w:hint="eastAsia" w:asciiTheme="minorEastAsia" w:hAnsiTheme="minorEastAsia" w:eastAsiaTheme="minorEastAsia"/>
                <w:sz w:val="18"/>
                <w:szCs w:val="18"/>
              </w:rPr>
              <w:t>人民政府根据研判及时启动</w:t>
            </w:r>
            <w:r>
              <w:rPr>
                <w:rFonts w:hint="eastAsia" w:asciiTheme="minorEastAsia" w:hAnsiTheme="minorEastAsia" w:eastAsiaTheme="minorEastAsia"/>
                <w:sz w:val="18"/>
                <w:szCs w:val="18"/>
                <w:lang w:eastAsia="zh-CN"/>
              </w:rPr>
              <w:t>相应</w:t>
            </w:r>
            <w:r>
              <w:rPr>
                <w:rFonts w:hint="eastAsia" w:asciiTheme="minorEastAsia" w:hAnsiTheme="minorEastAsia" w:eastAsiaTheme="minorEastAsia"/>
                <w:sz w:val="18"/>
                <w:szCs w:val="18"/>
              </w:rPr>
              <w:t>级别的应急响应情况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w:t>
            </w:r>
          </w:p>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处置</w:t>
            </w:r>
          </w:p>
        </w:tc>
        <w:tc>
          <w:tcPr>
            <w:tcW w:w="506"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现场指挥</w:t>
            </w: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按照法律法规和预案要求，成立现场指挥部情况及指挥场所情况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现场指挥部下设工作组情况、各工作组的分工及协同救援情况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现场指挥部对事故现场有效传达指令，进行有效管控情况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资料分析、询问谈话、专家论证、技术鉴定</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现场指挥部抢险救援方案的制定以及应急救援队伍落实方案情况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现场管理、交通管制、医疗卫生、环境监测、舆情引导工作协调联动情况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应急救援队伍和装备资源调动</w:t>
            </w: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向应急救援队伍下达救援命令情况</w:t>
            </w:r>
            <w:r>
              <w:rPr>
                <w:rFonts w:hint="eastAsia" w:asciiTheme="minorEastAsia" w:hAnsiTheme="minorEastAsia" w:eastAsiaTheme="minorEastAsia"/>
                <w:sz w:val="18"/>
                <w:szCs w:val="18"/>
                <w:lang w:eastAsia="zh-CN"/>
              </w:rPr>
              <w:t>、</w:t>
            </w:r>
            <w:r>
              <w:rPr>
                <w:rFonts w:hint="eastAsia" w:asciiTheme="minorEastAsia" w:hAnsiTheme="minorEastAsia" w:eastAsiaTheme="minorEastAsia"/>
                <w:sz w:val="18"/>
                <w:szCs w:val="18"/>
              </w:rPr>
              <w:t>有效调动应急救援队伍情况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调用和征用应急资源、物资装备情况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466" w:type="pct"/>
            <w:vMerge w:val="continue"/>
            <w:vAlign w:val="center"/>
          </w:tcPr>
          <w:p>
            <w:pPr>
              <w:snapToGrid w:val="0"/>
              <w:spacing w:before="156" w:beforeLines="50" w:after="156" w:afterLines="50"/>
              <w:rPr>
                <w:rFonts w:asciiTheme="minorEastAsia" w:hAnsiTheme="minorEastAsia" w:eastAsiaTheme="minorEastAsia"/>
                <w:sz w:val="18"/>
                <w:szCs w:val="18"/>
              </w:rPr>
            </w:pPr>
          </w:p>
        </w:tc>
        <w:tc>
          <w:tcPr>
            <w:tcW w:w="506"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92"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应急救援队伍救援物资装备使用情况</w:t>
            </w:r>
          </w:p>
        </w:tc>
        <w:tc>
          <w:tcPr>
            <w:tcW w:w="1106"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28" w:type="pct"/>
            <w:vAlign w:val="center"/>
          </w:tcPr>
          <w:p>
            <w:pPr>
              <w:snapToGrid w:val="0"/>
              <w:spacing w:before="62" w:beforeLines="20" w:after="62" w:afterLines="20"/>
              <w:rPr>
                <w:rFonts w:asciiTheme="minorEastAsia" w:hAnsiTheme="minorEastAsia" w:eastAsiaTheme="minorEastAsia"/>
                <w:sz w:val="18"/>
                <w:szCs w:val="18"/>
              </w:rPr>
            </w:pPr>
          </w:p>
        </w:tc>
      </w:tr>
    </w:tbl>
    <w:p>
      <w:pPr>
        <w:pStyle w:val="21"/>
        <w:ind w:firstLine="0" w:firstLineChars="0"/>
      </w:pPr>
    </w:p>
    <w:p>
      <w:pPr>
        <w:pStyle w:val="21"/>
        <w:ind w:firstLine="0" w:firstLineChars="0"/>
        <w:jc w:val="center"/>
        <w:rPr>
          <w:rFonts w:hint="eastAsia" w:ascii="黑体" w:hAnsi="黑体" w:eastAsia="黑体"/>
          <w:sz w:val="18"/>
          <w:szCs w:val="18"/>
        </w:rPr>
      </w:pPr>
    </w:p>
    <w:p>
      <w:pPr>
        <w:pStyle w:val="21"/>
        <w:ind w:firstLine="0" w:firstLineChars="0"/>
        <w:jc w:val="center"/>
        <w:rPr>
          <w:rFonts w:hint="eastAsia" w:ascii="黑体" w:hAnsi="黑体" w:eastAsia="黑体"/>
          <w:sz w:val="18"/>
          <w:szCs w:val="18"/>
        </w:rPr>
      </w:pPr>
    </w:p>
    <w:p>
      <w:pPr>
        <w:pStyle w:val="21"/>
        <w:ind w:firstLine="0" w:firstLineChars="0"/>
        <w:jc w:val="center"/>
        <w:rPr>
          <w:sz w:val="18"/>
          <w:szCs w:val="18"/>
        </w:rPr>
      </w:pPr>
      <w:r>
        <w:rPr>
          <w:rFonts w:hint="eastAsia" w:ascii="黑体" w:hAnsi="黑体" w:eastAsia="黑体"/>
          <w:sz w:val="18"/>
          <w:szCs w:val="18"/>
        </w:rPr>
        <w:t>表A.2</w:t>
      </w:r>
      <w:r>
        <w:rPr>
          <w:rFonts w:hint="eastAsia"/>
          <w:sz w:val="18"/>
          <w:szCs w:val="18"/>
        </w:rPr>
        <w:t>（续）</w:t>
      </w:r>
    </w:p>
    <w:tbl>
      <w:tblPr>
        <w:tblStyle w:val="14"/>
        <w:tblW w:w="46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894"/>
        <w:gridCol w:w="3713"/>
        <w:gridCol w:w="1936"/>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1005" w:type="pct"/>
            <w:gridSpan w:val="2"/>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评估项目</w:t>
            </w:r>
          </w:p>
        </w:tc>
        <w:tc>
          <w:tcPr>
            <w:tcW w:w="2077"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评估内容</w:t>
            </w:r>
          </w:p>
        </w:tc>
        <w:tc>
          <w:tcPr>
            <w:tcW w:w="1083" w:type="pct"/>
            <w:vAlign w:val="center"/>
          </w:tcPr>
          <w:p>
            <w:pPr>
              <w:adjustRightInd w:val="0"/>
              <w:spacing w:before="156" w:beforeLines="50" w:after="156" w:afterLines="50"/>
              <w:jc w:val="center"/>
              <w:rPr>
                <w:rFonts w:asciiTheme="minorEastAsia" w:hAnsiTheme="minorEastAsia" w:eastAsiaTheme="minorEastAsia"/>
                <w:b/>
                <w:sz w:val="18"/>
                <w:szCs w:val="18"/>
              </w:rPr>
            </w:pPr>
            <w:r>
              <w:rPr>
                <w:rFonts w:hint="eastAsia" w:asciiTheme="minorEastAsia" w:hAnsiTheme="minorEastAsia" w:eastAsiaTheme="minorEastAsia"/>
                <w:b/>
                <w:sz w:val="18"/>
                <w:szCs w:val="18"/>
              </w:rPr>
              <w:t>可选评估方式</w:t>
            </w:r>
          </w:p>
        </w:tc>
        <w:tc>
          <w:tcPr>
            <w:tcW w:w="833" w:type="pct"/>
            <w:vAlign w:val="center"/>
          </w:tcPr>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hint="eastAsia" w:asciiTheme="minorEastAsia" w:hAnsiTheme="minorEastAsia" w:eastAsiaTheme="minorEastAsia"/>
                <w:b/>
                <w:sz w:val="18"/>
                <w:szCs w:val="18"/>
              </w:rPr>
            </w:pPr>
            <w:r>
              <w:rPr>
                <w:rFonts w:hint="eastAsia" w:asciiTheme="minorEastAsia" w:hAnsiTheme="minorEastAsia" w:eastAsiaTheme="minorEastAsia"/>
                <w:b/>
                <w:sz w:val="18"/>
                <w:szCs w:val="18"/>
              </w:rPr>
              <w:t>评估结果</w:t>
            </w:r>
          </w:p>
          <w:p>
            <w:pPr>
              <w:keepNext w:val="0"/>
              <w:keepLines w:val="0"/>
              <w:pageBreakBefore w:val="0"/>
              <w:widowControl w:val="0"/>
              <w:kinsoku/>
              <w:wordWrap/>
              <w:overflowPunct/>
              <w:topLinePunct w:val="0"/>
              <w:autoSpaceDE/>
              <w:autoSpaceDN/>
              <w:bidi w:val="0"/>
              <w:adjustRightInd w:val="0"/>
              <w:snapToGrid/>
              <w:spacing w:line="240" w:lineRule="exact"/>
              <w:jc w:val="center"/>
              <w:textAlignment w:val="auto"/>
              <w:rPr>
                <w:rFonts w:asciiTheme="minorEastAsia" w:hAnsiTheme="minorEastAsia" w:eastAsiaTheme="minorEastAsia"/>
                <w:b/>
                <w:sz w:val="18"/>
                <w:szCs w:val="18"/>
              </w:rPr>
            </w:pPr>
            <w:r>
              <w:rPr>
                <w:rFonts w:hint="eastAsia" w:asciiTheme="minorEastAsia" w:hAnsiTheme="minorEastAsia" w:eastAsiaTheme="minorEastAsia"/>
                <w:b/>
                <w:sz w:val="18"/>
                <w:szCs w:val="18"/>
                <w:lang w:eastAsia="zh-CN"/>
              </w:rPr>
              <w:t>（客观性描述）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505"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w:t>
            </w:r>
          </w:p>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处置</w:t>
            </w:r>
          </w:p>
          <w:p>
            <w:pPr>
              <w:pStyle w:val="13"/>
            </w:pPr>
          </w:p>
        </w:tc>
        <w:tc>
          <w:tcPr>
            <w:tcW w:w="500"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医疗救治和善后处置</w:t>
            </w: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组织抢救遇险人员，救治受伤人员，伤亡人员家属安抚，以及社会稳定情况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05"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500"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通知可能受到事故影响的单位和人员避险安置情况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资料分析、询问谈话、专家论证、技术鉴定</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5"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500"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防止事故危害扩大和防控环境影响的措施</w:t>
            </w: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采取有效措施防止事故危害扩大和防范次生、衍生事故情况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5"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500"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采取必要的措施减少事故对环境造成的危害情况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资料分析、询问谈话、技术鉴定</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5"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500"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有效研判事故发展趋势以及可能造成的危害情况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询问谈话、专家论证、技术鉴定</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5"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500" w:type="pct"/>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现场秩序维护</w:t>
            </w: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按照要求隔离事故现场，划定警戒区域，有效维护现场秩序情况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资料分析、专家论证、技术鉴定</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5"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500"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及时疏散和安置事故可能影响的人员情况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5"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500"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对现场周边及有关区域实行交通管制情况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05" w:type="pct"/>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500" w:type="pct"/>
            <w:vAlign w:val="center"/>
          </w:tcPr>
          <w:p>
            <w:pPr>
              <w:snapToGrid w:val="0"/>
              <w:spacing w:before="156" w:beforeLines="50" w:after="156" w:afterLines="50"/>
              <w:jc w:val="center"/>
              <w:rPr>
                <w:rFonts w:asciiTheme="minorEastAsia" w:hAnsiTheme="minorEastAsia" w:eastAsiaTheme="minorEastAsia"/>
                <w:sz w:val="18"/>
                <w:szCs w:val="18"/>
              </w:rPr>
            </w:pPr>
            <w:r>
              <w:rPr>
                <w:rFonts w:asciiTheme="minorEastAsia" w:hAnsiTheme="minorEastAsia" w:eastAsiaTheme="minorEastAsia"/>
                <w:sz w:val="18"/>
                <w:szCs w:val="18"/>
              </w:rPr>
              <w:t>信息发布</w:t>
            </w:r>
            <w:r>
              <w:rPr>
                <w:rFonts w:hint="eastAsia" w:asciiTheme="minorEastAsia" w:hAnsiTheme="minorEastAsia" w:eastAsiaTheme="minorEastAsia"/>
                <w:sz w:val="18"/>
                <w:szCs w:val="18"/>
              </w:rPr>
              <w:t>与舆情引导</w:t>
            </w: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有关事故情况和应急救援工作信息发布的及时性，以及舆情引导的有效性</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资料分析、询问谈话、专家论证</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5" w:type="pct"/>
            <w:gridSpan w:val="2"/>
            <w:vMerge w:val="restart"/>
            <w:vAlign w:val="center"/>
          </w:tcPr>
          <w:p>
            <w:pPr>
              <w:snapToGrid w:val="0"/>
              <w:spacing w:before="156" w:beforeLines="50" w:after="156" w:afterLines="50"/>
              <w:jc w:val="center"/>
              <w:rPr>
                <w:rFonts w:asciiTheme="minorEastAsia" w:hAnsiTheme="minorEastAsia" w:eastAsiaTheme="minorEastAsia"/>
                <w:sz w:val="18"/>
                <w:szCs w:val="18"/>
              </w:rPr>
            </w:pPr>
            <w:r>
              <w:rPr>
                <w:rFonts w:hint="eastAsia" w:asciiTheme="minorEastAsia" w:hAnsiTheme="minorEastAsia" w:eastAsiaTheme="minorEastAsia"/>
                <w:sz w:val="18"/>
                <w:szCs w:val="18"/>
              </w:rPr>
              <w:t>应急保障</w:t>
            </w:r>
          </w:p>
        </w:tc>
        <w:tc>
          <w:tcPr>
            <w:tcW w:w="2077" w:type="pct"/>
            <w:vAlign w:val="center"/>
          </w:tcPr>
          <w:p>
            <w:pPr>
              <w:pStyle w:val="21"/>
              <w:numPr>
                <w:ilvl w:val="0"/>
                <w:numId w:val="0"/>
              </w:numPr>
              <w:rPr>
                <w:rFonts w:asciiTheme="minorEastAsia" w:hAnsiTheme="minorEastAsia" w:eastAsiaTheme="minorEastAsia"/>
                <w:sz w:val="18"/>
                <w:szCs w:val="18"/>
              </w:rPr>
            </w:pPr>
            <w:r>
              <w:rPr>
                <w:rFonts w:hint="eastAsia" w:cs="Times New Roman" w:asciiTheme="minorEastAsia" w:hAnsiTheme="minorEastAsia" w:eastAsiaTheme="minorEastAsia"/>
                <w:kern w:val="2"/>
                <w:sz w:val="18"/>
                <w:szCs w:val="18"/>
                <w:lang w:val="en-US" w:eastAsia="zh-CN" w:bidi="ar-SA"/>
              </w:rPr>
              <w:t>专业技术保障情况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5" w:type="pct"/>
            <w:gridSpan w:val="2"/>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77" w:type="pct"/>
            <w:vAlign w:val="center"/>
          </w:tcPr>
          <w:p>
            <w:pPr>
              <w:pStyle w:val="21"/>
              <w:numPr>
                <w:ilvl w:val="0"/>
                <w:numId w:val="0"/>
              </w:numPr>
            </w:pPr>
            <w:r>
              <w:rPr>
                <w:rFonts w:hint="eastAsia" w:cs="Times New Roman" w:asciiTheme="minorEastAsia" w:hAnsiTheme="minorEastAsia" w:eastAsiaTheme="minorEastAsia"/>
                <w:kern w:val="2"/>
                <w:sz w:val="18"/>
                <w:szCs w:val="18"/>
                <w:lang w:val="en-US" w:eastAsia="zh-CN" w:bidi="ar-SA"/>
              </w:rPr>
              <w:t>救援队伍及物资装备保障情况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005" w:type="pct"/>
            <w:gridSpan w:val="2"/>
            <w:vMerge w:val="continue"/>
            <w:vAlign w:val="center"/>
          </w:tcPr>
          <w:p>
            <w:pPr>
              <w:snapToGrid w:val="0"/>
              <w:spacing w:before="156" w:beforeLines="50" w:after="156" w:afterLines="50"/>
              <w:jc w:val="center"/>
              <w:rPr>
                <w:rFonts w:asciiTheme="minorEastAsia" w:hAnsiTheme="minorEastAsia" w:eastAsiaTheme="minorEastAsia"/>
                <w:sz w:val="18"/>
                <w:szCs w:val="18"/>
              </w:rPr>
            </w:pPr>
          </w:p>
        </w:tc>
        <w:tc>
          <w:tcPr>
            <w:tcW w:w="2077"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公安、卫健、电力、通信、供水、燃气、气象、城管、交通部门救援力量及物资装备保障情况</w:t>
            </w:r>
          </w:p>
        </w:tc>
        <w:tc>
          <w:tcPr>
            <w:tcW w:w="1083" w:type="pct"/>
            <w:vAlign w:val="center"/>
          </w:tcPr>
          <w:p>
            <w:pPr>
              <w:snapToGrid w:val="0"/>
              <w:spacing w:before="62" w:beforeLines="20" w:after="62" w:afterLines="20"/>
              <w:rPr>
                <w:rFonts w:asciiTheme="minorEastAsia" w:hAnsiTheme="minorEastAsia" w:eastAsiaTheme="minorEastAsia"/>
                <w:sz w:val="18"/>
                <w:szCs w:val="18"/>
              </w:rPr>
            </w:pPr>
            <w:r>
              <w:rPr>
                <w:rFonts w:hint="eastAsia" w:asciiTheme="minorEastAsia" w:hAnsiTheme="minorEastAsia" w:eastAsiaTheme="minorEastAsia"/>
                <w:sz w:val="18"/>
                <w:szCs w:val="18"/>
              </w:rPr>
              <w:t>资料分析、询问谈话、现场勘查</w:t>
            </w:r>
          </w:p>
        </w:tc>
        <w:tc>
          <w:tcPr>
            <w:tcW w:w="833" w:type="pct"/>
            <w:vAlign w:val="center"/>
          </w:tcPr>
          <w:p>
            <w:pPr>
              <w:snapToGrid w:val="0"/>
              <w:spacing w:before="62" w:beforeLines="20" w:after="62" w:afterLines="20"/>
              <w:rPr>
                <w:rFonts w:asciiTheme="minorEastAsia" w:hAnsiTheme="minorEastAsia" w:eastAsiaTheme="minorEastAsia"/>
                <w:sz w:val="18"/>
                <w:szCs w:val="18"/>
              </w:rPr>
            </w:pPr>
          </w:p>
        </w:tc>
      </w:tr>
    </w:tbl>
    <w:p>
      <w:pPr>
        <w:pStyle w:val="21"/>
        <w:ind w:firstLine="0" w:firstLineChars="0"/>
        <w:sectPr>
          <w:pgSz w:w="11906" w:h="16838"/>
          <w:pgMar w:top="1134" w:right="1134" w:bottom="1134" w:left="1134" w:header="1418" w:footer="1134" w:gutter="284"/>
          <w:pgNumType w:fmt="decimal"/>
          <w:cols w:space="720" w:num="1"/>
          <w:formProt w:val="0"/>
          <w:docGrid w:type="lines" w:linePitch="312" w:charSpace="0"/>
        </w:sectPr>
      </w:pPr>
    </w:p>
    <w:p>
      <w:pPr>
        <w:pStyle w:val="48"/>
        <w:numPr>
          <w:ilvl w:val="0"/>
          <w:numId w:val="23"/>
        </w:numPr>
        <w:ind w:firstLine="0"/>
        <w:rPr>
          <w:vanish w:val="0"/>
        </w:rPr>
      </w:pPr>
    </w:p>
    <w:p>
      <w:pPr>
        <w:pStyle w:val="45"/>
        <w:numPr>
          <w:ilvl w:val="0"/>
          <w:numId w:val="1"/>
        </w:numPr>
        <w:ind w:firstLine="0"/>
        <w:rPr>
          <w:vanish w:val="0"/>
        </w:rPr>
      </w:pPr>
    </w:p>
    <w:p>
      <w:pPr>
        <w:pStyle w:val="33"/>
        <w:keepNext w:val="0"/>
        <w:keepLines w:val="0"/>
        <w:pageBreakBefore w:val="0"/>
        <w:widowControl/>
        <w:numPr>
          <w:ilvl w:val="0"/>
          <w:numId w:val="4"/>
        </w:numPr>
        <w:kinsoku/>
        <w:wordWrap/>
        <w:overflowPunct/>
        <w:topLinePunct w:val="0"/>
        <w:autoSpaceDE/>
        <w:autoSpaceDN/>
        <w:bidi w:val="0"/>
        <w:adjustRightInd/>
        <w:snapToGrid/>
        <w:spacing w:before="78" w:after="156"/>
        <w:ind w:left="0"/>
        <w:textAlignment w:val="auto"/>
      </w:pPr>
      <w:r>
        <w:br w:type="textWrapping"/>
      </w:r>
      <w:bookmarkStart w:id="181" w:name="_Toc118880742"/>
      <w:bookmarkStart w:id="182" w:name="_Toc118880432"/>
      <w:r>
        <w:rPr>
          <w:rFonts w:hint="eastAsia"/>
        </w:rPr>
        <w:t>（资料性）</w:t>
      </w:r>
      <w:r>
        <w:br w:type="textWrapping"/>
      </w:r>
      <w:r>
        <w:rPr>
          <w:rFonts w:hint="eastAsia"/>
        </w:rPr>
        <w:t>生产安全事故应急救援评估报告大纲</w:t>
      </w:r>
      <w:bookmarkEnd w:id="181"/>
      <w:bookmarkEnd w:id="182"/>
    </w:p>
    <w:p>
      <w:pPr>
        <w:pStyle w:val="36"/>
        <w:numPr>
          <w:ilvl w:val="1"/>
          <w:numId w:val="4"/>
        </w:numPr>
        <w:snapToGrid w:val="0"/>
        <w:spacing w:before="156" w:afterLines="0"/>
        <w:ind w:left="0"/>
      </w:pPr>
      <w:bookmarkStart w:id="183" w:name="_Toc118880744"/>
      <w:bookmarkStart w:id="184" w:name="_Toc118880434"/>
      <w:r>
        <w:rPr>
          <w:rFonts w:hint="eastAsia"/>
        </w:rPr>
        <w:t>应急救援基本情况</w:t>
      </w:r>
      <w:bookmarkEnd w:id="183"/>
      <w:bookmarkEnd w:id="184"/>
    </w:p>
    <w:p>
      <w:pPr>
        <w:pStyle w:val="37"/>
        <w:numPr>
          <w:ilvl w:val="2"/>
          <w:numId w:val="4"/>
        </w:numPr>
        <w:wordWrap/>
        <w:spacing w:beforeLines="0" w:afterLines="0"/>
        <w:ind w:left="0"/>
        <w:rPr>
          <w:rFonts w:ascii="宋体" w:hAnsi="宋体" w:eastAsia="宋体"/>
        </w:rPr>
      </w:pPr>
      <w:r>
        <w:rPr>
          <w:rFonts w:hint="eastAsia" w:ascii="宋体" w:hAnsi="宋体" w:eastAsia="宋体"/>
        </w:rPr>
        <w:t>事故企业（单位）情况</w:t>
      </w:r>
    </w:p>
    <w:p>
      <w:pPr>
        <w:pStyle w:val="37"/>
        <w:numPr>
          <w:ilvl w:val="2"/>
          <w:numId w:val="4"/>
        </w:numPr>
        <w:wordWrap/>
        <w:spacing w:beforeLines="0" w:afterLines="0"/>
        <w:ind w:left="0"/>
        <w:rPr>
          <w:rFonts w:ascii="宋体" w:hAnsi="宋体" w:eastAsia="宋体"/>
        </w:rPr>
      </w:pPr>
      <w:r>
        <w:rPr>
          <w:rFonts w:hint="eastAsia" w:ascii="宋体" w:hAnsi="宋体" w:eastAsia="宋体"/>
        </w:rPr>
        <w:t>事故发生简要经过</w:t>
      </w:r>
    </w:p>
    <w:p>
      <w:pPr>
        <w:pStyle w:val="37"/>
        <w:numPr>
          <w:ilvl w:val="2"/>
          <w:numId w:val="4"/>
        </w:numPr>
        <w:wordWrap/>
        <w:spacing w:beforeLines="0" w:afterLines="0"/>
        <w:ind w:left="0"/>
      </w:pPr>
      <w:r>
        <w:rPr>
          <w:rFonts w:hint="eastAsia" w:ascii="宋体" w:hAnsi="宋体" w:eastAsia="宋体"/>
        </w:rPr>
        <w:t>事故应急处置概况</w:t>
      </w:r>
    </w:p>
    <w:p>
      <w:pPr>
        <w:pStyle w:val="36"/>
        <w:numPr>
          <w:ilvl w:val="1"/>
          <w:numId w:val="4"/>
        </w:numPr>
        <w:snapToGrid w:val="0"/>
        <w:spacing w:before="156" w:afterLines="0"/>
        <w:ind w:left="0"/>
      </w:pPr>
      <w:r>
        <w:rPr>
          <w:rFonts w:hint="eastAsia"/>
        </w:rPr>
        <w:t>应急准备情况</w:t>
      </w:r>
    </w:p>
    <w:p>
      <w:pPr>
        <w:pStyle w:val="37"/>
        <w:numPr>
          <w:ilvl w:val="2"/>
          <w:numId w:val="4"/>
        </w:numPr>
        <w:wordWrap/>
        <w:spacing w:beforeLines="0" w:afterLines="0"/>
        <w:ind w:left="0"/>
        <w:rPr>
          <w:rFonts w:ascii="宋体" w:hAnsi="宋体" w:eastAsia="宋体"/>
        </w:rPr>
      </w:pPr>
      <w:r>
        <w:rPr>
          <w:rFonts w:hint="eastAsia" w:ascii="宋体" w:hAnsi="宋体" w:eastAsia="宋体"/>
        </w:rPr>
        <w:t>事故单位应急准备情况</w:t>
      </w:r>
    </w:p>
    <w:p>
      <w:pPr>
        <w:pStyle w:val="37"/>
        <w:numPr>
          <w:ilvl w:val="2"/>
          <w:numId w:val="4"/>
        </w:numPr>
        <w:wordWrap/>
        <w:spacing w:beforeLines="0" w:afterLines="0"/>
        <w:ind w:left="0"/>
      </w:pPr>
      <w:r>
        <w:rPr>
          <w:rFonts w:hint="eastAsia" w:ascii="宋体" w:hAnsi="宋体" w:eastAsia="宋体"/>
          <w:lang w:eastAsia="zh-CN"/>
        </w:rPr>
        <w:t>事发地</w:t>
      </w:r>
      <w:r>
        <w:rPr>
          <w:rFonts w:hint="eastAsia" w:ascii="宋体" w:hAnsi="宋体" w:eastAsia="宋体"/>
        </w:rPr>
        <w:t>人民政府及</w:t>
      </w:r>
      <w:r>
        <w:rPr>
          <w:rFonts w:hint="eastAsia" w:ascii="宋体" w:hAnsi="宋体" w:eastAsia="宋体"/>
          <w:lang w:eastAsia="zh-CN"/>
        </w:rPr>
        <w:t>相关</w:t>
      </w:r>
      <w:r>
        <w:rPr>
          <w:rFonts w:hint="eastAsia" w:ascii="宋体" w:hAnsi="宋体" w:eastAsia="宋体"/>
        </w:rPr>
        <w:t>部门应急准备情况</w:t>
      </w:r>
    </w:p>
    <w:p>
      <w:pPr>
        <w:pStyle w:val="36"/>
        <w:numPr>
          <w:ilvl w:val="1"/>
          <w:numId w:val="4"/>
        </w:numPr>
        <w:snapToGrid w:val="0"/>
        <w:spacing w:before="156" w:afterLines="0"/>
        <w:ind w:left="0"/>
        <w:rPr>
          <w:rFonts w:hint="eastAsia" w:ascii="宋体" w:hAnsi="宋体" w:eastAsia="宋体"/>
        </w:rPr>
      </w:pPr>
      <w:r>
        <w:rPr>
          <w:rFonts w:hint="eastAsia"/>
        </w:rPr>
        <w:t>预警情况</w:t>
      </w:r>
    </w:p>
    <w:p>
      <w:pPr>
        <w:pStyle w:val="36"/>
        <w:keepNext w:val="0"/>
        <w:keepLines w:val="0"/>
        <w:pageBreakBefore w:val="0"/>
        <w:widowControl w:val="0"/>
        <w:numPr>
          <w:ilvl w:val="1"/>
          <w:numId w:val="0"/>
        </w:numPr>
        <w:kinsoku/>
        <w:wordWrap/>
        <w:overflowPunct/>
        <w:topLinePunct w:val="0"/>
        <w:autoSpaceDE/>
        <w:autoSpaceDN/>
        <w:bidi w:val="0"/>
        <w:adjustRightInd/>
        <w:snapToGrid w:val="0"/>
        <w:spacing w:beforeLines="0" w:afterLines="0"/>
        <w:ind w:leftChars="0" w:firstLine="420" w:firstLineChars="200"/>
        <w:textAlignment w:val="auto"/>
        <w:rPr>
          <w:rFonts w:hint="eastAsia" w:ascii="宋体" w:hAnsi="Times New Roman" w:eastAsia="宋体" w:cs="Times New Roman"/>
          <w:kern w:val="0"/>
          <w:sz w:val="21"/>
          <w:lang w:val="en-US" w:eastAsia="zh-CN" w:bidi="ar-SA"/>
        </w:rPr>
      </w:pPr>
      <w:r>
        <w:rPr>
          <w:rFonts w:hint="eastAsia" w:ascii="宋体" w:hAnsi="Times New Roman" w:eastAsia="宋体" w:cs="Times New Roman"/>
          <w:kern w:val="0"/>
          <w:sz w:val="21"/>
          <w:lang w:val="en-US" w:eastAsia="zh-CN" w:bidi="ar-SA"/>
        </w:rPr>
        <w:t>事故单位在事故发生前预警情况</w:t>
      </w:r>
    </w:p>
    <w:p>
      <w:pPr>
        <w:pStyle w:val="36"/>
        <w:numPr>
          <w:ilvl w:val="1"/>
          <w:numId w:val="4"/>
        </w:numPr>
        <w:snapToGrid w:val="0"/>
        <w:spacing w:before="156" w:afterLines="0"/>
        <w:ind w:left="0"/>
      </w:pPr>
      <w:r>
        <w:rPr>
          <w:rFonts w:hint="eastAsia"/>
        </w:rPr>
        <w:t>应急处置过程</w:t>
      </w:r>
    </w:p>
    <w:p>
      <w:pPr>
        <w:pStyle w:val="37"/>
        <w:numPr>
          <w:ilvl w:val="2"/>
          <w:numId w:val="4"/>
        </w:numPr>
        <w:wordWrap/>
        <w:spacing w:beforeLines="0" w:afterLines="0"/>
        <w:ind w:left="0"/>
        <w:rPr>
          <w:rFonts w:ascii="宋体" w:hAnsi="宋体" w:eastAsia="宋体"/>
        </w:rPr>
      </w:pPr>
      <w:r>
        <w:rPr>
          <w:rFonts w:hint="eastAsia" w:ascii="宋体" w:hAnsi="宋体" w:eastAsia="宋体"/>
        </w:rPr>
        <w:t>信息接报</w:t>
      </w:r>
    </w:p>
    <w:p>
      <w:pPr>
        <w:pStyle w:val="37"/>
        <w:numPr>
          <w:ilvl w:val="2"/>
          <w:numId w:val="4"/>
        </w:numPr>
        <w:wordWrap/>
        <w:spacing w:beforeLines="0" w:afterLines="0"/>
        <w:ind w:left="0"/>
        <w:rPr>
          <w:rFonts w:ascii="宋体" w:hAnsi="宋体" w:eastAsia="宋体"/>
        </w:rPr>
      </w:pPr>
      <w:r>
        <w:rPr>
          <w:rFonts w:hint="eastAsia" w:ascii="宋体" w:hAnsi="宋体" w:eastAsia="宋体"/>
        </w:rPr>
        <w:t>企业先期处置</w:t>
      </w:r>
    </w:p>
    <w:p>
      <w:pPr>
        <w:pStyle w:val="37"/>
        <w:numPr>
          <w:ilvl w:val="2"/>
          <w:numId w:val="4"/>
        </w:numPr>
        <w:wordWrap/>
        <w:spacing w:beforeLines="0" w:afterLines="0"/>
        <w:ind w:left="0"/>
        <w:rPr>
          <w:rFonts w:ascii="宋体" w:hAnsi="宋体" w:eastAsia="宋体"/>
        </w:rPr>
      </w:pPr>
      <w:r>
        <w:rPr>
          <w:rFonts w:hint="eastAsia" w:ascii="宋体" w:hAnsi="宋体" w:eastAsia="宋体"/>
          <w:lang w:eastAsia="zh-CN"/>
        </w:rPr>
        <w:t>事发地</w:t>
      </w:r>
      <w:r>
        <w:rPr>
          <w:rFonts w:hint="eastAsia" w:ascii="宋体" w:hAnsi="宋体" w:eastAsia="宋体"/>
        </w:rPr>
        <w:t>人民政府及</w:t>
      </w:r>
      <w:r>
        <w:rPr>
          <w:rFonts w:hint="eastAsia" w:ascii="宋体" w:hAnsi="宋体" w:eastAsia="宋体"/>
          <w:lang w:eastAsia="zh-CN"/>
        </w:rPr>
        <w:t>相关</w:t>
      </w:r>
      <w:r>
        <w:rPr>
          <w:rFonts w:hint="eastAsia" w:ascii="宋体" w:hAnsi="宋体" w:eastAsia="宋体"/>
        </w:rPr>
        <w:t>部门应急响应</w:t>
      </w:r>
    </w:p>
    <w:p>
      <w:pPr>
        <w:pStyle w:val="37"/>
        <w:numPr>
          <w:ilvl w:val="2"/>
          <w:numId w:val="4"/>
        </w:numPr>
        <w:wordWrap/>
        <w:spacing w:beforeLines="0" w:afterLines="0"/>
        <w:ind w:left="0"/>
        <w:rPr>
          <w:rFonts w:ascii="宋体" w:hAnsi="宋体" w:eastAsia="宋体"/>
        </w:rPr>
      </w:pPr>
      <w:r>
        <w:rPr>
          <w:rFonts w:hint="eastAsia" w:ascii="宋体" w:hAnsi="宋体" w:eastAsia="宋体"/>
        </w:rPr>
        <w:t>组织指挥</w:t>
      </w:r>
    </w:p>
    <w:p>
      <w:pPr>
        <w:pStyle w:val="37"/>
        <w:numPr>
          <w:ilvl w:val="2"/>
          <w:numId w:val="4"/>
        </w:numPr>
        <w:wordWrap/>
        <w:spacing w:beforeLines="0" w:afterLines="0"/>
        <w:ind w:left="0"/>
        <w:rPr>
          <w:rFonts w:ascii="宋体" w:hAnsi="宋体" w:eastAsia="宋体"/>
        </w:rPr>
      </w:pPr>
      <w:r>
        <w:rPr>
          <w:rFonts w:hint="eastAsia" w:ascii="宋体" w:hAnsi="宋体" w:eastAsia="宋体"/>
        </w:rPr>
        <w:t>处置主要过程</w:t>
      </w:r>
    </w:p>
    <w:p>
      <w:pPr>
        <w:pStyle w:val="37"/>
        <w:numPr>
          <w:ilvl w:val="2"/>
          <w:numId w:val="4"/>
        </w:numPr>
        <w:wordWrap/>
        <w:spacing w:beforeLines="0" w:afterLines="0"/>
        <w:ind w:left="0"/>
        <w:rPr>
          <w:rFonts w:ascii="宋体" w:hAnsi="宋体" w:eastAsia="宋体"/>
        </w:rPr>
      </w:pPr>
      <w:bookmarkStart w:id="185" w:name="_Toc80869781"/>
      <w:bookmarkStart w:id="186" w:name="_Toc81406864"/>
      <w:bookmarkStart w:id="187" w:name="_Toc80692194"/>
      <w:bookmarkStart w:id="188" w:name="_Toc74217090"/>
      <w:bookmarkStart w:id="189" w:name="_Toc118880436"/>
      <w:bookmarkStart w:id="190" w:name="_Toc61420147"/>
      <w:bookmarkStart w:id="191" w:name="_Toc69116548"/>
      <w:bookmarkStart w:id="192" w:name="_Toc118880746"/>
      <w:bookmarkStart w:id="193" w:name="_Toc74216879"/>
      <w:r>
        <w:rPr>
          <w:rFonts w:hint="eastAsia" w:ascii="宋体" w:hAnsi="宋体" w:eastAsia="宋体"/>
        </w:rPr>
        <w:t>人员伤亡情况</w:t>
      </w:r>
    </w:p>
    <w:p>
      <w:pPr>
        <w:pStyle w:val="37"/>
        <w:numPr>
          <w:ilvl w:val="2"/>
          <w:numId w:val="4"/>
        </w:numPr>
        <w:wordWrap/>
        <w:spacing w:beforeLines="0" w:afterLines="0"/>
        <w:ind w:left="0"/>
        <w:rPr>
          <w:rFonts w:ascii="宋体" w:hAnsi="宋体" w:eastAsia="宋体"/>
        </w:rPr>
      </w:pPr>
      <w:r>
        <w:rPr>
          <w:rFonts w:hint="eastAsia" w:ascii="宋体" w:hAnsi="宋体" w:eastAsia="宋体"/>
        </w:rPr>
        <w:t>信息发布和舆情引导</w:t>
      </w:r>
    </w:p>
    <w:p>
      <w:pPr>
        <w:pStyle w:val="37"/>
        <w:numPr>
          <w:ilvl w:val="2"/>
          <w:numId w:val="4"/>
        </w:numPr>
        <w:wordWrap/>
        <w:spacing w:beforeLines="0" w:afterLines="0"/>
        <w:ind w:left="0"/>
        <w:rPr>
          <w:rFonts w:ascii="宋体" w:hAnsi="宋体" w:eastAsia="宋体"/>
        </w:rPr>
      </w:pPr>
      <w:r>
        <w:rPr>
          <w:rFonts w:hint="eastAsia" w:ascii="宋体" w:hAnsi="宋体" w:eastAsia="宋体"/>
        </w:rPr>
        <w:t>善后处置</w:t>
      </w:r>
    </w:p>
    <w:p>
      <w:pPr>
        <w:pStyle w:val="36"/>
        <w:numPr>
          <w:ilvl w:val="1"/>
          <w:numId w:val="4"/>
        </w:numPr>
        <w:snapToGrid w:val="0"/>
        <w:spacing w:before="156" w:afterLines="0"/>
        <w:ind w:left="0"/>
      </w:pPr>
      <w:r>
        <w:rPr>
          <w:rFonts w:hint="eastAsia"/>
        </w:rPr>
        <w:t>应急保障情况</w:t>
      </w:r>
      <w:bookmarkEnd w:id="185"/>
      <w:bookmarkEnd w:id="186"/>
      <w:bookmarkEnd w:id="187"/>
      <w:bookmarkEnd w:id="188"/>
      <w:bookmarkEnd w:id="189"/>
      <w:bookmarkEnd w:id="190"/>
      <w:bookmarkEnd w:id="191"/>
      <w:bookmarkEnd w:id="192"/>
      <w:bookmarkEnd w:id="193"/>
    </w:p>
    <w:p>
      <w:pPr>
        <w:pStyle w:val="37"/>
        <w:numPr>
          <w:ilvl w:val="2"/>
          <w:numId w:val="4"/>
        </w:numPr>
        <w:wordWrap/>
        <w:spacing w:beforeLines="0" w:afterLines="0"/>
        <w:ind w:left="0"/>
        <w:rPr>
          <w:rFonts w:ascii="宋体" w:hAnsi="宋体" w:eastAsia="宋体"/>
        </w:rPr>
      </w:pPr>
      <w:r>
        <w:rPr>
          <w:rFonts w:hint="eastAsia" w:ascii="宋体" w:hAnsi="宋体" w:eastAsia="宋体"/>
        </w:rPr>
        <w:t>专业技术保障</w:t>
      </w:r>
    </w:p>
    <w:p>
      <w:pPr>
        <w:pStyle w:val="37"/>
        <w:numPr>
          <w:ilvl w:val="2"/>
          <w:numId w:val="4"/>
        </w:numPr>
        <w:wordWrap/>
        <w:spacing w:beforeLines="0" w:afterLines="0"/>
        <w:ind w:left="0"/>
        <w:rPr>
          <w:rFonts w:ascii="宋体" w:hAnsi="宋体" w:eastAsia="宋体"/>
        </w:rPr>
      </w:pPr>
      <w:r>
        <w:rPr>
          <w:rFonts w:hint="eastAsia" w:ascii="宋体" w:hAnsi="宋体" w:eastAsia="宋体"/>
        </w:rPr>
        <w:t>救援队伍及物资装备保障</w:t>
      </w:r>
    </w:p>
    <w:p>
      <w:pPr>
        <w:pStyle w:val="37"/>
        <w:numPr>
          <w:ilvl w:val="2"/>
          <w:numId w:val="4"/>
        </w:numPr>
        <w:spacing w:beforeLines="0" w:afterLines="0"/>
        <w:ind w:left="0"/>
        <w:rPr>
          <w:rFonts w:hAnsi="宋体"/>
        </w:rPr>
      </w:pPr>
      <w:r>
        <w:rPr>
          <w:rFonts w:hint="eastAsia" w:ascii="宋体" w:hAnsi="宋体" w:eastAsia="宋体"/>
        </w:rPr>
        <w:t>公安、卫健、电力、通信、供水、燃气、气象、城管、交通</w:t>
      </w:r>
      <w:r>
        <w:rPr>
          <w:rFonts w:hint="eastAsia" w:ascii="宋体" w:hAnsi="宋体" w:eastAsia="宋体"/>
          <w:lang w:eastAsia="zh-CN"/>
        </w:rPr>
        <w:t>部门</w:t>
      </w:r>
      <w:r>
        <w:rPr>
          <w:rFonts w:hint="eastAsia" w:ascii="宋体" w:hAnsi="宋体" w:eastAsia="宋体"/>
        </w:rPr>
        <w:t>救援力量及物资装备保障</w:t>
      </w:r>
    </w:p>
    <w:p>
      <w:pPr>
        <w:pStyle w:val="36"/>
        <w:numPr>
          <w:ilvl w:val="1"/>
          <w:numId w:val="4"/>
        </w:numPr>
        <w:snapToGrid w:val="0"/>
        <w:spacing w:before="156" w:afterLines="0"/>
        <w:ind w:left="0"/>
        <w:rPr>
          <w:rFonts w:hint="eastAsia" w:ascii="宋体" w:hAnsi="Times New Roman" w:eastAsia="宋体" w:cs="Times New Roman"/>
          <w:kern w:val="0"/>
          <w:sz w:val="21"/>
          <w:lang w:val="en-US" w:eastAsia="zh-CN" w:bidi="ar-SA"/>
        </w:rPr>
      </w:pPr>
      <w:bookmarkStart w:id="194" w:name="_Toc80692196"/>
      <w:bookmarkStart w:id="195" w:name="_Toc74217092"/>
      <w:bookmarkStart w:id="196" w:name="_Toc81406866"/>
      <w:bookmarkStart w:id="197" w:name="_Toc69116550"/>
      <w:bookmarkStart w:id="198" w:name="_Toc74216881"/>
      <w:bookmarkStart w:id="199" w:name="_Toc118880437"/>
      <w:bookmarkStart w:id="200" w:name="_Toc118880747"/>
      <w:bookmarkStart w:id="201" w:name="_Toc80869783"/>
      <w:bookmarkStart w:id="202" w:name="_Toc61420149"/>
      <w:r>
        <w:rPr>
          <w:rFonts w:hint="eastAsia"/>
          <w:lang w:eastAsia="zh-CN"/>
        </w:rPr>
        <w:t>事故特点及救援难点</w:t>
      </w:r>
    </w:p>
    <w:p>
      <w:pPr>
        <w:pStyle w:val="21"/>
        <w:ind w:firstLine="420"/>
        <w:rPr>
          <w:rFonts w:hint="eastAsia"/>
          <w:lang w:val="en-US" w:eastAsia="zh-CN"/>
        </w:rPr>
      </w:pPr>
      <w:r>
        <w:rPr>
          <w:rFonts w:hint="eastAsia"/>
          <w:lang w:val="en-US" w:eastAsia="zh-CN"/>
        </w:rPr>
        <w:t>系统总结事故特点，分析救援过程中存在的难点</w:t>
      </w:r>
    </w:p>
    <w:p>
      <w:pPr>
        <w:pStyle w:val="36"/>
        <w:numPr>
          <w:ilvl w:val="1"/>
          <w:numId w:val="4"/>
        </w:numPr>
        <w:snapToGrid w:val="0"/>
        <w:spacing w:before="156" w:afterLines="0"/>
        <w:ind w:left="0"/>
      </w:pPr>
      <w:r>
        <w:rPr>
          <w:rFonts w:hint="eastAsia"/>
        </w:rPr>
        <w:t>应急救援评估</w:t>
      </w:r>
      <w:bookmarkEnd w:id="194"/>
      <w:bookmarkEnd w:id="195"/>
      <w:bookmarkEnd w:id="196"/>
      <w:bookmarkEnd w:id="197"/>
      <w:bookmarkEnd w:id="198"/>
      <w:bookmarkEnd w:id="199"/>
      <w:bookmarkEnd w:id="200"/>
      <w:bookmarkEnd w:id="201"/>
      <w:bookmarkEnd w:id="202"/>
      <w:r>
        <w:rPr>
          <w:rFonts w:hint="eastAsia"/>
        </w:rPr>
        <w:t>意见</w:t>
      </w:r>
    </w:p>
    <w:p>
      <w:pPr>
        <w:pStyle w:val="37"/>
        <w:numPr>
          <w:ilvl w:val="2"/>
          <w:numId w:val="4"/>
        </w:numPr>
        <w:wordWrap/>
        <w:spacing w:beforeLines="0" w:afterLines="0"/>
        <w:ind w:left="0"/>
        <w:rPr>
          <w:rFonts w:ascii="宋体" w:hAnsi="宋体" w:eastAsia="宋体"/>
        </w:rPr>
      </w:pPr>
      <w:r>
        <w:rPr>
          <w:rFonts w:hint="eastAsia" w:ascii="宋体" w:eastAsia="宋体"/>
        </w:rPr>
        <w:t>应急救援评估结论</w:t>
      </w:r>
    </w:p>
    <w:p>
      <w:pPr>
        <w:pStyle w:val="37"/>
        <w:numPr>
          <w:ilvl w:val="2"/>
          <w:numId w:val="4"/>
        </w:numPr>
        <w:wordWrap/>
        <w:spacing w:beforeLines="0" w:afterLines="0"/>
        <w:ind w:left="0"/>
        <w:rPr>
          <w:rFonts w:ascii="宋体" w:hAnsi="宋体" w:eastAsia="宋体"/>
        </w:rPr>
      </w:pPr>
      <w:r>
        <w:rPr>
          <w:rFonts w:hint="eastAsia" w:ascii="宋体" w:eastAsia="宋体"/>
        </w:rPr>
        <w:t>救援经验做法</w:t>
      </w:r>
    </w:p>
    <w:p>
      <w:pPr>
        <w:pStyle w:val="37"/>
        <w:numPr>
          <w:ilvl w:val="2"/>
          <w:numId w:val="4"/>
        </w:numPr>
        <w:wordWrap/>
        <w:spacing w:beforeLines="0" w:afterLines="0"/>
        <w:ind w:left="0"/>
        <w:rPr>
          <w:rFonts w:ascii="宋体" w:hAnsi="宋体" w:eastAsia="宋体"/>
        </w:rPr>
      </w:pPr>
      <w:r>
        <w:rPr>
          <w:rFonts w:hint="eastAsia" w:ascii="宋体" w:hAnsi="宋体" w:eastAsia="宋体"/>
        </w:rPr>
        <w:t>存在问题不足</w:t>
      </w:r>
    </w:p>
    <w:p>
      <w:pPr>
        <w:keepNext w:val="0"/>
        <w:keepLines w:val="0"/>
        <w:pageBreakBefore w:val="0"/>
        <w:widowControl/>
        <w:numPr>
          <w:ilvl w:val="2"/>
          <w:numId w:val="4"/>
        </w:numPr>
        <w:kinsoku/>
        <w:wordWrap/>
        <w:overflowPunct w:val="0"/>
        <w:topLinePunct w:val="0"/>
        <w:autoSpaceDE w:val="0"/>
        <w:autoSpaceDN w:val="0"/>
        <w:bidi w:val="0"/>
        <w:adjustRightInd/>
        <w:spacing w:beforeLines="0" w:afterLines="0"/>
        <w:ind w:left="0" w:firstLine="0"/>
        <w:jc w:val="both"/>
        <w:textAlignment w:val="baseline"/>
        <w:outlineLvl w:val="3"/>
        <w:rPr>
          <w:lang w:val="en-US" w:eastAsia="zh-CN"/>
        </w:rPr>
      </w:pPr>
      <w:r>
        <w:rPr>
          <w:rFonts w:hint="eastAsia" w:ascii="宋体" w:hAnsi="Times New Roman" w:eastAsia="宋体" w:cs="Times New Roman"/>
          <w:sz w:val="21"/>
          <w:lang w:val="en-US" w:eastAsia="zh-CN" w:bidi="ar-SA"/>
        </w:rPr>
        <w:t>对存在的失职渎职情况，按照有关规定提出处理建议</w:t>
      </w:r>
    </w:p>
    <w:p>
      <w:pPr>
        <w:pStyle w:val="36"/>
        <w:numPr>
          <w:ilvl w:val="1"/>
          <w:numId w:val="4"/>
        </w:numPr>
        <w:snapToGrid w:val="0"/>
        <w:spacing w:before="156" w:afterLines="0"/>
        <w:ind w:left="0"/>
      </w:pPr>
      <w:bookmarkStart w:id="203" w:name="_Toc80692197"/>
      <w:bookmarkStart w:id="204" w:name="_Toc118880748"/>
      <w:bookmarkStart w:id="205" w:name="_Toc74216882"/>
      <w:bookmarkStart w:id="206" w:name="_Toc80869784"/>
      <w:bookmarkStart w:id="207" w:name="_Toc74217093"/>
      <w:bookmarkStart w:id="208" w:name="_Toc69116551"/>
      <w:bookmarkStart w:id="209" w:name="_Toc118880438"/>
      <w:bookmarkStart w:id="210" w:name="_Toc81406867"/>
      <w:bookmarkStart w:id="211" w:name="_Toc61420150"/>
      <w:r>
        <w:rPr>
          <w:rFonts w:hint="eastAsia"/>
        </w:rPr>
        <w:t>工作建议</w:t>
      </w:r>
      <w:bookmarkEnd w:id="203"/>
      <w:bookmarkEnd w:id="204"/>
      <w:bookmarkEnd w:id="205"/>
      <w:bookmarkEnd w:id="206"/>
      <w:bookmarkEnd w:id="207"/>
      <w:bookmarkEnd w:id="208"/>
      <w:bookmarkEnd w:id="209"/>
      <w:bookmarkEnd w:id="210"/>
      <w:bookmarkEnd w:id="211"/>
    </w:p>
    <w:p>
      <w:pPr>
        <w:pStyle w:val="21"/>
        <w:ind w:firstLine="420"/>
      </w:pPr>
      <w:r>
        <w:rPr>
          <w:rFonts w:hint="eastAsia"/>
        </w:rPr>
        <w:t>提出应急救援工作中的建议</w:t>
      </w:r>
      <w:bookmarkEnd w:id="178"/>
    </w:p>
    <w:p>
      <w:pPr>
        <w:pStyle w:val="36"/>
        <w:numPr>
          <w:ilvl w:val="1"/>
          <w:numId w:val="4"/>
        </w:numPr>
        <w:snapToGrid w:val="0"/>
        <w:spacing w:before="156" w:afterLines="0"/>
        <w:ind w:left="0"/>
      </w:pPr>
      <w:r>
        <w:rPr>
          <w:rFonts w:hint="eastAsia"/>
        </w:rPr>
        <w:t>附件</w:t>
      </w:r>
    </w:p>
    <w:p>
      <w:pPr>
        <w:pStyle w:val="21"/>
        <w:ind w:firstLine="420"/>
        <w:rPr>
          <w:rFonts w:hint="eastAsia"/>
        </w:rPr>
      </w:pPr>
      <w:r>
        <w:rPr>
          <w:rFonts w:hint="eastAsia"/>
        </w:rPr>
        <w:t>提供证据文件或图表</w:t>
      </w:r>
    </w:p>
    <w:p>
      <w:pPr>
        <w:rPr>
          <w:rFonts w:hint="eastAsia"/>
        </w:rPr>
      </w:pPr>
      <w:r>
        <w:rPr>
          <w:rFonts w:hint="eastAsia"/>
        </w:rPr>
        <w:br w:type="page"/>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b w:val="0"/>
          <w:bCs w:val="0"/>
          <w:color w:val="auto"/>
          <w:sz w:val="32"/>
          <w:szCs w:val="32"/>
          <w:lang w:val="en-US" w:eastAsia="zh-CN"/>
        </w:rPr>
      </w:pPr>
      <w:bookmarkStart w:id="212" w:name="_Toc437468682"/>
      <w:bookmarkStart w:id="213" w:name="_Toc437465502"/>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2</w:t>
      </w:r>
    </w:p>
    <w:p>
      <w:pPr>
        <w:jc w:val="center"/>
        <w:rPr>
          <w:rFonts w:ascii="黑体" w:eastAsia="黑体"/>
          <w:b/>
          <w:bCs/>
          <w:sz w:val="52"/>
          <w:szCs w:val="52"/>
        </w:rPr>
      </w:pPr>
    </w:p>
    <w:p>
      <w:pPr>
        <w:jc w:val="center"/>
        <w:rPr>
          <w:rFonts w:ascii="黑体" w:eastAsia="黑体"/>
          <w:b/>
          <w:bCs/>
          <w:sz w:val="52"/>
          <w:szCs w:val="5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《生产安全事故应急救援评估规范》</w:t>
      </w:r>
    </w:p>
    <w:p>
      <w:pPr>
        <w:jc w:val="center"/>
        <w:rPr>
          <w:rFonts w:ascii="宋体" w:hAnsi="宋体" w:eastAsia="仿宋_GB2312"/>
          <w:sz w:val="32"/>
          <w:szCs w:val="32"/>
        </w:rPr>
      </w:pPr>
      <w:r>
        <w:rPr>
          <w:rFonts w:hint="eastAsia" w:ascii="宋体" w:hAnsi="宋体" w:eastAsia="仿宋_GB2312"/>
          <w:sz w:val="32"/>
          <w:szCs w:val="32"/>
        </w:rPr>
        <w:t>（</w:t>
      </w:r>
      <w:r>
        <w:rPr>
          <w:rFonts w:hint="eastAsia" w:ascii="宋体" w:hAnsi="宋体" w:eastAsia="仿宋_GB2312"/>
          <w:sz w:val="32"/>
          <w:szCs w:val="32"/>
          <w:lang w:eastAsia="zh-CN"/>
        </w:rPr>
        <w:t>☑</w:t>
      </w:r>
      <w:r>
        <w:rPr>
          <w:rFonts w:hint="eastAsia" w:ascii="宋体" w:hAnsi="宋体" w:eastAsia="仿宋_GB2312"/>
          <w:sz w:val="32"/>
          <w:szCs w:val="32"/>
        </w:rPr>
        <w:t>征求意见稿</w:t>
      </w:r>
      <w:r>
        <w:rPr>
          <w:rFonts w:ascii="宋体" w:hAnsi="宋体" w:eastAsia="仿宋_GB2312"/>
          <w:sz w:val="32"/>
          <w:szCs w:val="32"/>
        </w:rPr>
        <w:t xml:space="preserve">  </w:t>
      </w:r>
      <w:r>
        <w:rPr>
          <w:rFonts w:hint="eastAsia" w:ascii="宋体" w:hAnsi="宋体" w:eastAsia="仿宋_GB2312"/>
          <w:sz w:val="32"/>
          <w:szCs w:val="32"/>
          <w:lang w:eastAsia="zh-CN"/>
        </w:rPr>
        <w:t>□</w:t>
      </w:r>
      <w:r>
        <w:rPr>
          <w:rFonts w:hint="eastAsia" w:ascii="宋体" w:hAnsi="宋体" w:eastAsia="仿宋_GB2312"/>
          <w:sz w:val="32"/>
          <w:szCs w:val="32"/>
        </w:rPr>
        <w:t>送审稿</w:t>
      </w:r>
      <w:r>
        <w:rPr>
          <w:rFonts w:ascii="宋体" w:hAnsi="宋体" w:eastAsia="仿宋_GB2312"/>
          <w:sz w:val="32"/>
          <w:szCs w:val="32"/>
        </w:rPr>
        <w:t xml:space="preserve">  </w:t>
      </w:r>
      <w:r>
        <w:rPr>
          <w:rFonts w:hint="eastAsia" w:ascii="宋体" w:hAnsi="宋体" w:eastAsia="仿宋_GB2312"/>
          <w:sz w:val="32"/>
          <w:szCs w:val="32"/>
        </w:rPr>
        <w:t>□报批稿）</w:t>
      </w:r>
    </w:p>
    <w:p>
      <w:pPr>
        <w:pStyle w:val="13"/>
      </w:pPr>
    </w:p>
    <w:p>
      <w:pPr>
        <w:jc w:val="center"/>
        <w:rPr>
          <w:rFonts w:ascii="黑体" w:hAnsi="黑体" w:eastAsia="黑体" w:cs="方正小标宋简体"/>
          <w:sz w:val="44"/>
          <w:szCs w:val="44"/>
        </w:rPr>
      </w:pPr>
      <w:r>
        <w:rPr>
          <w:rFonts w:hint="eastAsia" w:ascii="黑体" w:hAnsi="黑体" w:eastAsia="黑体" w:cs="方正小标宋简体"/>
          <w:sz w:val="44"/>
          <w:szCs w:val="44"/>
        </w:rPr>
        <w:t>编制说明</w:t>
      </w:r>
    </w:p>
    <w:p>
      <w:pPr>
        <w:jc w:val="center"/>
      </w:pPr>
    </w:p>
    <w:p>
      <w:pPr>
        <w:pStyle w:val="13"/>
      </w:pPr>
    </w:p>
    <w:p>
      <w:pPr>
        <w:pStyle w:val="13"/>
      </w:pPr>
    </w:p>
    <w:p>
      <w:pPr>
        <w:pStyle w:val="13"/>
      </w:pPr>
    </w:p>
    <w:p>
      <w:pPr>
        <w:pStyle w:val="13"/>
      </w:pPr>
    </w:p>
    <w:p>
      <w:pPr>
        <w:pStyle w:val="13"/>
      </w:pPr>
    </w:p>
    <w:p>
      <w:pPr>
        <w:pStyle w:val="13"/>
      </w:pPr>
    </w:p>
    <w:p>
      <w:pPr>
        <w:pStyle w:val="13"/>
      </w:pPr>
    </w:p>
    <w:p>
      <w:pPr>
        <w:pStyle w:val="13"/>
      </w:pPr>
    </w:p>
    <w:bookmarkEnd w:id="212"/>
    <w:p>
      <w:pPr>
        <w:jc w:val="center"/>
        <w:rPr>
          <w:rFonts w:ascii="宋体" w:hAnsi="宋体" w:eastAsia="仿宋_GB2312" w:cs="仿宋_GB2312"/>
          <w:sz w:val="32"/>
          <w:szCs w:val="32"/>
        </w:rPr>
      </w:pPr>
      <w:bookmarkStart w:id="214" w:name="_Toc437468683"/>
      <w:r>
        <w:rPr>
          <w:rFonts w:hint="eastAsia" w:ascii="宋体" w:hAnsi="宋体" w:eastAsia="仿宋_GB2312" w:cs="仿宋_GB2312"/>
          <w:sz w:val="32"/>
          <w:szCs w:val="32"/>
        </w:rPr>
        <w:t>标准编制组</w:t>
      </w:r>
    </w:p>
    <w:p>
      <w:pPr>
        <w:jc w:val="center"/>
        <w:rPr>
          <w:rFonts w:ascii="宋体" w:hAnsi="宋体"/>
          <w:b/>
          <w:sz w:val="32"/>
          <w:szCs w:val="32"/>
        </w:rPr>
      </w:pPr>
      <w:r>
        <w:rPr>
          <w:rFonts w:hint="eastAsia" w:ascii="宋体" w:hAnsi="宋体" w:eastAsia="仿宋_GB2312" w:cs="仿宋_GB2312"/>
          <w:sz w:val="32"/>
          <w:szCs w:val="32"/>
        </w:rPr>
        <w:t>2023年</w:t>
      </w:r>
      <w:r>
        <w:rPr>
          <w:rFonts w:ascii="宋体" w:hAnsi="宋体" w:eastAsia="仿宋_GB2312" w:cs="仿宋_GB2312"/>
          <w:sz w:val="32"/>
          <w:szCs w:val="32"/>
        </w:rPr>
        <w:t>5</w:t>
      </w:r>
      <w:r>
        <w:rPr>
          <w:rFonts w:hint="eastAsia" w:ascii="宋体" w:hAnsi="宋体" w:eastAsia="仿宋_GB2312" w:cs="仿宋_GB2312"/>
          <w:sz w:val="32"/>
          <w:szCs w:val="32"/>
        </w:rPr>
        <w:t>月</w:t>
      </w:r>
    </w:p>
    <w:p>
      <w:pPr>
        <w:tabs>
          <w:tab w:val="left" w:pos="906"/>
        </w:tabs>
        <w:jc w:val="left"/>
        <w:sectPr>
          <w:footerReference r:id="rId16" w:type="first"/>
          <w:footerReference r:id="rId14" w:type="default"/>
          <w:headerReference r:id="rId13" w:type="even"/>
          <w:footerReference r:id="rId15" w:type="even"/>
          <w:pgSz w:w="11906" w:h="16838"/>
          <w:pgMar w:top="1440" w:right="1800" w:bottom="1440" w:left="1800" w:header="851" w:footer="992" w:gutter="0"/>
          <w:cols w:space="720" w:num="1"/>
          <w:titlePg/>
          <w:docGrid w:type="lines" w:linePitch="312" w:charSpace="0"/>
        </w:sectPr>
      </w:pPr>
    </w:p>
    <w:bookmarkEnd w:id="213"/>
    <w:bookmarkEnd w:id="214"/>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一、工作简况</w:t>
      </w:r>
    </w:p>
    <w:p>
      <w:pPr>
        <w:widowControl/>
        <w:spacing w:line="560" w:lineRule="exact"/>
        <w:ind w:firstLine="640" w:firstLineChars="200"/>
        <w:rPr>
          <w:rFonts w:ascii="宋体" w:hAnsi="宋体" w:eastAsia="楷体_GB2312" w:cs="楷体_GB2312"/>
          <w:sz w:val="32"/>
          <w:szCs w:val="32"/>
        </w:rPr>
      </w:pPr>
      <w:r>
        <w:rPr>
          <w:rFonts w:hint="eastAsia" w:ascii="宋体" w:hAnsi="宋体" w:eastAsia="楷体_GB2312" w:cs="楷体_GB2312"/>
          <w:sz w:val="32"/>
          <w:szCs w:val="32"/>
        </w:rPr>
        <w:t>（一）任务来源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应急管理部办公厅《关于印发应急管理行业标准制修订计划（2022年第三批）的通知》（应急厅函〔2022〕322号），《生产安全事故应急救援评估指南》的制订计划编号为2022-AQ-19，由TC288全国安全生产标准化技术委员会组织起草和审查。依据《标准化法》（</w:t>
      </w:r>
      <w:r>
        <w:rPr>
          <w:rFonts w:ascii="仿宋_GB2312" w:hAnsi="仿宋_GB2312" w:eastAsia="仿宋_GB2312" w:cs="仿宋_GB2312"/>
          <w:sz w:val="32"/>
          <w:szCs w:val="32"/>
        </w:rPr>
        <w:t>2017年修订）第十条“对保障人身健康和生命财产安全，满足社会经济管理基本需要的技术要求，应当制定强制性的国家标准”和《应急管理标准化工作管理办法》第二十条“对于依法需要强制实施的应急管理标准，应当制定强制性标准”的规定</w:t>
      </w:r>
      <w:r>
        <w:rPr>
          <w:rFonts w:hint="eastAsia" w:ascii="仿宋_GB2312" w:hAnsi="仿宋_GB2312" w:eastAsia="仿宋_GB2312" w:cs="仿宋_GB2312"/>
          <w:sz w:val="32"/>
          <w:szCs w:val="32"/>
        </w:rPr>
        <w:t>，将该标准调整为强制性行业标准，为法规规章实施提供更有力的技术支撑和必要补充，名称由《生产安全事故应急救援评估指南》变更为《生产安全事故应急救援评估规范》。</w:t>
      </w:r>
    </w:p>
    <w:p>
      <w:pPr>
        <w:widowControl/>
        <w:spacing w:line="560" w:lineRule="exact"/>
        <w:ind w:firstLine="640" w:firstLineChars="200"/>
        <w:rPr>
          <w:rFonts w:ascii="宋体" w:hAnsi="宋体" w:eastAsia="楷体_GB2312" w:cs="楷体_GB2312"/>
          <w:sz w:val="32"/>
          <w:szCs w:val="32"/>
        </w:rPr>
      </w:pPr>
      <w:r>
        <w:rPr>
          <w:rFonts w:hint="eastAsia" w:ascii="宋体" w:hAnsi="宋体" w:eastAsia="楷体_GB2312" w:cs="楷体_GB2312"/>
          <w:sz w:val="32"/>
          <w:szCs w:val="32"/>
        </w:rPr>
        <w:t>（二）起草单位及人员</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根据立项计划，2022年12</w:t>
      </w:r>
      <w:r>
        <w:rPr>
          <w:rFonts w:ascii="仿宋_GB2312" w:hAnsi="仿宋_GB2312" w:eastAsia="仿宋_GB2312" w:cs="仿宋_GB2312"/>
          <w:sz w:val="32"/>
          <w:szCs w:val="32"/>
        </w:rPr>
        <w:t>月成立标准起草组，</w:t>
      </w:r>
      <w:r>
        <w:rPr>
          <w:rFonts w:hint="eastAsia" w:ascii="仿宋_GB2312" w:hAnsi="仿宋_GB2312" w:eastAsia="仿宋_GB2312" w:cs="仿宋_GB2312"/>
          <w:sz w:val="32"/>
          <w:szCs w:val="32"/>
        </w:rPr>
        <w:t>国家安全生产应急救援中心</w:t>
      </w:r>
      <w:r>
        <w:rPr>
          <w:rFonts w:ascii="仿宋_GB2312" w:hAnsi="仿宋_GB2312" w:eastAsia="仿宋_GB2312" w:cs="仿宋_GB2312"/>
          <w:sz w:val="32"/>
          <w:szCs w:val="32"/>
        </w:rPr>
        <w:t>牵头负责本文件的</w:t>
      </w:r>
      <w:r>
        <w:rPr>
          <w:rFonts w:hint="eastAsia" w:ascii="仿宋_GB2312" w:hAnsi="仿宋_GB2312" w:eastAsia="仿宋_GB2312" w:cs="仿宋_GB2312"/>
          <w:sz w:val="32"/>
          <w:szCs w:val="32"/>
        </w:rPr>
        <w:t>制定</w:t>
      </w:r>
      <w:r>
        <w:rPr>
          <w:rFonts w:ascii="仿宋_GB2312" w:hAnsi="仿宋_GB2312" w:eastAsia="仿宋_GB2312" w:cs="仿宋_GB2312"/>
          <w:sz w:val="32"/>
          <w:szCs w:val="32"/>
        </w:rPr>
        <w:t>工作</w:t>
      </w:r>
      <w:r>
        <w:rPr>
          <w:rFonts w:hint="eastAsia" w:ascii="仿宋_GB2312" w:hAnsi="仿宋_GB2312" w:eastAsia="仿宋_GB2312" w:cs="仿宋_GB2312"/>
          <w:sz w:val="32"/>
          <w:szCs w:val="32"/>
          <w:lang w:eastAsia="zh-CN"/>
        </w:rPr>
        <w:t>。</w:t>
      </w:r>
    </w:p>
    <w:p>
      <w:pPr>
        <w:widowControl/>
        <w:spacing w:line="560" w:lineRule="exact"/>
        <w:ind w:firstLine="640" w:firstLineChars="200"/>
        <w:rPr>
          <w:rFonts w:ascii="宋体" w:hAnsi="宋体" w:eastAsia="楷体_GB2312" w:cs="楷体_GB2312"/>
          <w:sz w:val="32"/>
          <w:szCs w:val="32"/>
        </w:rPr>
      </w:pPr>
      <w:r>
        <w:rPr>
          <w:rFonts w:hint="eastAsia" w:ascii="宋体" w:hAnsi="宋体" w:eastAsia="楷体_GB2312" w:cs="楷体_GB2312"/>
          <w:sz w:val="32"/>
          <w:szCs w:val="32"/>
        </w:rPr>
        <w:t>（三）主要工作过程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w:t>
      </w:r>
      <w:r>
        <w:rPr>
          <w:rFonts w:hint="eastAsia" w:ascii="宋体" w:hAnsi="宋体" w:eastAsia="宋体" w:cs="宋体"/>
          <w:sz w:val="32"/>
          <w:szCs w:val="32"/>
        </w:rPr>
        <w:t>2013</w:t>
      </w:r>
      <w:r>
        <w:rPr>
          <w:rFonts w:hint="eastAsia" w:ascii="仿宋_GB2312" w:hAnsi="仿宋_GB2312" w:eastAsia="仿宋_GB2312" w:cs="仿宋_GB2312"/>
          <w:sz w:val="32"/>
          <w:szCs w:val="32"/>
        </w:rPr>
        <w:t>年以来，按照《安全生产法》《</w:t>
      </w:r>
      <w:r>
        <w:rPr>
          <w:rFonts w:hint="eastAsia" w:ascii="宋体" w:hAnsi="宋体" w:eastAsia="仿宋_GB2312" w:cs="Times New Roman"/>
          <w:sz w:val="32"/>
          <w:szCs w:val="32"/>
        </w:rPr>
        <w:t>生产安全事故应急条例</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rPr>
        <w:t>（以下</w:t>
      </w:r>
      <w:r>
        <w:rPr>
          <w:rFonts w:hint="eastAsia" w:ascii="仿宋_GB2312" w:hAnsi="仿宋_GB2312" w:eastAsia="仿宋_GB2312" w:cs="仿宋_GB2312"/>
          <w:sz w:val="32"/>
          <w:szCs w:val="32"/>
        </w:rPr>
        <w:t>简称《</w:t>
      </w:r>
      <w:r>
        <w:rPr>
          <w:rFonts w:hint="eastAsia" w:ascii="仿宋_GB2312" w:hAnsi="仿宋_GB2312" w:eastAsia="仿宋_GB2312" w:cs="仿宋_GB2312"/>
          <w:sz w:val="32"/>
          <w:szCs w:val="32"/>
          <w:lang w:eastAsia="zh-CN"/>
        </w:rPr>
        <w:t>条例</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sz w:val="32"/>
          <w:szCs w:val="32"/>
        </w:rPr>
        <w:t>和《关于进一步加强生产安全事故应急处置工作的通知》（安委</w:t>
      </w:r>
      <w:r>
        <w:rPr>
          <w:rFonts w:hint="eastAsia" w:ascii="宋体" w:hAnsi="宋体" w:eastAsia="宋体" w:cs="宋体"/>
          <w:sz w:val="32"/>
          <w:szCs w:val="32"/>
        </w:rPr>
        <w:t>〔2013〕8</w:t>
      </w:r>
      <w:r>
        <w:rPr>
          <w:rFonts w:hint="eastAsia" w:ascii="仿宋_GB2312" w:hAnsi="仿宋_GB2312" w:eastAsia="仿宋_GB2312" w:cs="仿宋_GB2312"/>
          <w:sz w:val="32"/>
          <w:szCs w:val="32"/>
        </w:rPr>
        <w:t>号）的要求，国家层面对</w:t>
      </w:r>
      <w:r>
        <w:rPr>
          <w:rFonts w:hint="eastAsia" w:ascii="宋体" w:hAnsi="宋体" w:eastAsia="宋体" w:cs="宋体"/>
          <w:sz w:val="32"/>
          <w:szCs w:val="32"/>
        </w:rPr>
        <w:t>2013</w:t>
      </w:r>
      <w:r>
        <w:rPr>
          <w:rFonts w:hint="eastAsia" w:ascii="仿宋_GB2312" w:hAnsi="仿宋_GB2312" w:eastAsia="仿宋_GB2312" w:cs="仿宋_GB2312"/>
          <w:sz w:val="32"/>
          <w:szCs w:val="32"/>
        </w:rPr>
        <w:t>年青岛“</w:t>
      </w:r>
      <w:r>
        <w:rPr>
          <w:rFonts w:hint="eastAsia" w:ascii="宋体" w:hAnsi="宋体" w:eastAsia="宋体" w:cs="宋体"/>
          <w:sz w:val="32"/>
          <w:szCs w:val="32"/>
        </w:rPr>
        <w:t>11·22</w:t>
      </w:r>
      <w:r>
        <w:rPr>
          <w:rFonts w:hint="eastAsia" w:ascii="仿宋_GB2312" w:hAnsi="仿宋_GB2312" w:eastAsia="仿宋_GB2312" w:cs="仿宋_GB2312"/>
          <w:sz w:val="32"/>
          <w:szCs w:val="32"/>
        </w:rPr>
        <w:t>”中石化东黄输油管道泄漏爆炸特别重大事故、</w:t>
      </w:r>
      <w:r>
        <w:rPr>
          <w:rFonts w:hint="eastAsia" w:ascii="宋体" w:hAnsi="宋体" w:eastAsia="宋体" w:cs="宋体"/>
          <w:sz w:val="32"/>
          <w:szCs w:val="32"/>
        </w:rPr>
        <w:t>2015</w:t>
      </w:r>
      <w:r>
        <w:rPr>
          <w:rFonts w:hint="eastAsia" w:ascii="仿宋_GB2312" w:hAnsi="仿宋_GB2312" w:eastAsia="仿宋_GB2312" w:cs="仿宋_GB2312"/>
          <w:sz w:val="32"/>
          <w:szCs w:val="32"/>
        </w:rPr>
        <w:t>年深圳光明新区渣土受纳场“</w:t>
      </w:r>
      <w:r>
        <w:rPr>
          <w:rFonts w:hint="eastAsia" w:ascii="宋体" w:hAnsi="宋体" w:eastAsia="宋体" w:cs="宋体"/>
          <w:sz w:val="32"/>
          <w:szCs w:val="32"/>
        </w:rPr>
        <w:t>12·20</w:t>
      </w:r>
      <w:r>
        <w:rPr>
          <w:rFonts w:hint="eastAsia" w:ascii="仿宋_GB2312" w:hAnsi="仿宋_GB2312" w:eastAsia="仿宋_GB2312" w:cs="仿宋_GB2312"/>
          <w:sz w:val="32"/>
          <w:szCs w:val="32"/>
        </w:rPr>
        <w:t>”特别重大滑坡事故、</w:t>
      </w:r>
      <w:r>
        <w:rPr>
          <w:rFonts w:hint="eastAsia" w:ascii="宋体" w:hAnsi="宋体" w:eastAsia="宋体" w:cs="宋体"/>
          <w:sz w:val="32"/>
          <w:szCs w:val="32"/>
        </w:rPr>
        <w:t>2016</w:t>
      </w:r>
      <w:r>
        <w:rPr>
          <w:rFonts w:hint="eastAsia" w:ascii="仿宋_GB2312" w:hAnsi="仿宋_GB2312" w:eastAsia="仿宋_GB2312" w:cs="仿宋_GB2312"/>
          <w:sz w:val="32"/>
          <w:szCs w:val="32"/>
        </w:rPr>
        <w:t>年赤峰宝马矿业有限公司“</w:t>
      </w:r>
      <w:r>
        <w:rPr>
          <w:rFonts w:hint="eastAsia" w:ascii="宋体" w:hAnsi="宋体" w:eastAsia="宋体" w:cs="宋体"/>
          <w:sz w:val="32"/>
          <w:szCs w:val="32"/>
        </w:rPr>
        <w:t>12·3</w:t>
      </w:r>
      <w:r>
        <w:rPr>
          <w:rFonts w:hint="eastAsia" w:ascii="仿宋_GB2312" w:hAnsi="仿宋_GB2312" w:eastAsia="仿宋_GB2312" w:cs="仿宋_GB2312"/>
          <w:sz w:val="32"/>
          <w:szCs w:val="32"/>
        </w:rPr>
        <w:t>”特别重大瓦斯爆炸事故、</w:t>
      </w:r>
      <w:r>
        <w:rPr>
          <w:rFonts w:hint="eastAsia" w:ascii="宋体" w:hAnsi="宋体" w:eastAsia="宋体" w:cs="宋体"/>
          <w:sz w:val="32"/>
          <w:szCs w:val="32"/>
        </w:rPr>
        <w:t>2021</w:t>
      </w:r>
      <w:r>
        <w:rPr>
          <w:rFonts w:hint="eastAsia" w:ascii="仿宋_GB2312" w:hAnsi="仿宋_GB2312" w:eastAsia="仿宋_GB2312" w:cs="仿宋_GB2312"/>
          <w:sz w:val="32"/>
          <w:szCs w:val="32"/>
        </w:rPr>
        <w:t>年福建泉州欣佳酒店“</w:t>
      </w:r>
      <w:r>
        <w:rPr>
          <w:rFonts w:hint="eastAsia" w:ascii="宋体" w:hAnsi="宋体" w:eastAsia="宋体" w:cs="宋体"/>
          <w:sz w:val="32"/>
          <w:szCs w:val="32"/>
        </w:rPr>
        <w:t>3·7</w:t>
      </w:r>
      <w:r>
        <w:rPr>
          <w:rFonts w:hint="eastAsia" w:ascii="仿宋_GB2312" w:hAnsi="仿宋_GB2312" w:eastAsia="仿宋_GB2312" w:cs="仿宋_GB2312"/>
          <w:sz w:val="32"/>
          <w:szCs w:val="32"/>
        </w:rPr>
        <w:t>”坍塌事故、</w:t>
      </w:r>
      <w:r>
        <w:rPr>
          <w:rFonts w:hint="eastAsia" w:ascii="宋体" w:hAnsi="宋体" w:eastAsia="宋体" w:cs="宋体"/>
          <w:sz w:val="32"/>
          <w:szCs w:val="32"/>
        </w:rPr>
        <w:t>2022</w:t>
      </w:r>
      <w:r>
        <w:rPr>
          <w:rFonts w:hint="eastAsia" w:ascii="仿宋_GB2312" w:hAnsi="仿宋_GB2312" w:eastAsia="仿宋_GB2312" w:cs="仿宋_GB2312"/>
          <w:sz w:val="32"/>
          <w:szCs w:val="32"/>
        </w:rPr>
        <w:t>年湖南长沙“</w:t>
      </w:r>
      <w:r>
        <w:rPr>
          <w:rFonts w:hint="eastAsia" w:ascii="宋体" w:hAnsi="宋体" w:eastAsia="宋体" w:cs="宋体"/>
          <w:sz w:val="32"/>
          <w:szCs w:val="32"/>
        </w:rPr>
        <w:t>4·29</w:t>
      </w:r>
      <w:r>
        <w:rPr>
          <w:rFonts w:hint="eastAsia" w:ascii="仿宋_GB2312" w:hAnsi="仿宋_GB2312" w:eastAsia="仿宋_GB2312" w:cs="仿宋_GB2312"/>
          <w:sz w:val="32"/>
          <w:szCs w:val="32"/>
        </w:rPr>
        <w:t>”特别重大居民自建房倒塌事故、2022年河南安阳市凯信达商贸有限公司特别重大火灾事故等开展了应急救援评估，并作为事故调查报告的重要组成部分。国家安全生产应急救援中心牵头完成了以上事故的应急救援评估工作。地方各级人民政府在事故调查中也开展了应急救援评估工作。</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基于上述情况，</w:t>
      </w:r>
      <w:r>
        <w:rPr>
          <w:rFonts w:hint="eastAsia" w:ascii="仿宋_GB2312" w:hAnsi="仿宋_GB2312" w:eastAsia="仿宋_GB2312" w:cs="仿宋_GB2312"/>
          <w:caps/>
          <w:sz w:val="32"/>
          <w:szCs w:val="32"/>
        </w:rPr>
        <w:t>国家安全生产应急救援中心</w:t>
      </w:r>
      <w:r>
        <w:rPr>
          <w:rFonts w:hint="eastAsia" w:ascii="仿宋_GB2312" w:hAnsi="仿宋_GB2312" w:eastAsia="仿宋_GB2312" w:cs="仿宋_GB2312"/>
          <w:color w:val="000000"/>
          <w:sz w:val="32"/>
          <w:szCs w:val="32"/>
        </w:rPr>
        <w:t>会同中国安全生产科学研究院等单位共同承担《生产安全事故应急救援评估规范》（以下简称《规范》）标准的起草工作。依据相关法律法规的要求，《规范》按照标准制订程序，经过多次研究讨论修改后完成了标准草案。2022年10月，征求了应急管理部相关司局单位和国家矿山安监局意见，对草案进行了修改完善。</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标准编制组认真研究标准内容，组织召开研讨会议，对标准的核心内容充分讨论，进一步进行修改，形成征求意见稿。</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二、标准编制原则和强制性标准主要技术内容及确定依据</w:t>
      </w:r>
    </w:p>
    <w:p>
      <w:pPr>
        <w:spacing w:line="560" w:lineRule="exact"/>
        <w:ind w:firstLine="640" w:firstLineChars="200"/>
        <w:outlineLvl w:val="0"/>
        <w:rPr>
          <w:rFonts w:ascii="楷体" w:hAnsi="楷体" w:eastAsia="楷体" w:cs="楷体"/>
          <w:sz w:val="32"/>
          <w:szCs w:val="32"/>
        </w:rPr>
      </w:pPr>
      <w:r>
        <w:rPr>
          <w:rFonts w:hint="eastAsia" w:ascii="楷体" w:hAnsi="楷体" w:eastAsia="楷体" w:cs="楷体"/>
          <w:sz w:val="32"/>
          <w:szCs w:val="32"/>
        </w:rPr>
        <w:t>（一）标准编制原则</w:t>
      </w:r>
    </w:p>
    <w:p>
      <w:pPr>
        <w:spacing w:line="560" w:lineRule="exact"/>
        <w:ind w:firstLine="640" w:firstLineChars="200"/>
        <w:rPr>
          <w:rFonts w:ascii="仿宋_GB2312" w:hAnsi="仿宋_GB2312" w:eastAsia="仿宋_GB2312" w:cs="仿宋_GB2312"/>
          <w:color w:val="000000"/>
          <w:sz w:val="32"/>
          <w:szCs w:val="32"/>
        </w:rPr>
      </w:pPr>
      <w:r>
        <w:rPr>
          <w:rFonts w:hint="eastAsia" w:ascii="宋体" w:hAnsi="宋体" w:eastAsia="宋体" w:cs="宋体"/>
          <w:sz w:val="32"/>
          <w:szCs w:val="32"/>
        </w:rPr>
        <w:t>1.</w:t>
      </w:r>
      <w:r>
        <w:rPr>
          <w:rFonts w:hint="eastAsia" w:ascii="仿宋_GB2312" w:hAnsi="仿宋_GB2312" w:eastAsia="仿宋_GB2312" w:cs="仿宋_GB2312"/>
          <w:color w:val="000000"/>
          <w:sz w:val="32"/>
          <w:szCs w:val="32"/>
        </w:rPr>
        <w:t>《规范》编制遵循习近平总书记关于“建立健全重大自然灾害和安全事故调查评估制度”的要求，适用于指导</w:t>
      </w:r>
      <w:r>
        <w:rPr>
          <w:rFonts w:hint="eastAsia" w:ascii="仿宋_GB2312" w:hAnsi="仿宋_GB2312" w:eastAsia="仿宋_GB2312" w:cs="仿宋_GB2312"/>
          <w:color w:val="000000"/>
          <w:sz w:val="32"/>
          <w:szCs w:val="32"/>
          <w:lang w:eastAsia="zh-CN"/>
        </w:rPr>
        <w:t>较大及以上</w:t>
      </w:r>
      <w:r>
        <w:rPr>
          <w:rFonts w:hint="eastAsia" w:ascii="仿宋_GB2312" w:hAnsi="仿宋_GB2312" w:eastAsia="仿宋_GB2312" w:cs="仿宋_GB2312"/>
          <w:color w:val="000000"/>
          <w:sz w:val="32"/>
          <w:szCs w:val="32"/>
        </w:rPr>
        <w:t>生产安全事故应急救援评估工作，核心要求与相关法律法规保持一致。</w:t>
      </w:r>
    </w:p>
    <w:p>
      <w:pPr>
        <w:spacing w:line="560" w:lineRule="exact"/>
        <w:ind w:firstLine="640" w:firstLineChars="200"/>
        <w:rPr>
          <w:rFonts w:ascii="仿宋_GB2312" w:hAnsi="仿宋_GB2312" w:eastAsia="仿宋_GB2312" w:cs="仿宋_GB2312"/>
          <w:color w:val="000000"/>
          <w:sz w:val="32"/>
          <w:szCs w:val="32"/>
        </w:rPr>
      </w:pPr>
      <w:r>
        <w:rPr>
          <w:rFonts w:hint="eastAsia" w:ascii="宋体" w:hAnsi="宋体" w:eastAsia="宋体" w:cs="宋体"/>
          <w:sz w:val="32"/>
          <w:szCs w:val="32"/>
        </w:rPr>
        <w:t>2.</w:t>
      </w:r>
      <w:r>
        <w:rPr>
          <w:rFonts w:hint="eastAsia" w:ascii="仿宋_GB2312" w:hAnsi="仿宋_GB2312" w:eastAsia="仿宋_GB2312" w:cs="仿宋_GB2312"/>
          <w:color w:val="000000"/>
          <w:sz w:val="32"/>
          <w:szCs w:val="32"/>
        </w:rPr>
        <w:t>《规范》内容符合“实事求是、客观公正、科学高效”的原则。</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3.标准格式符合《标准化工作导则 第</w:t>
      </w:r>
      <w:r>
        <w:rPr>
          <w:rFonts w:hint="eastAsia" w:ascii="宋体" w:hAnsi="宋体" w:eastAsia="宋体" w:cs="宋体"/>
          <w:sz w:val="32"/>
          <w:szCs w:val="32"/>
        </w:rPr>
        <w:t>1</w:t>
      </w:r>
      <w:r>
        <w:rPr>
          <w:rFonts w:hint="eastAsia" w:ascii="仿宋_GB2312" w:hAnsi="仿宋_GB2312" w:eastAsia="仿宋_GB2312" w:cs="仿宋_GB2312"/>
          <w:color w:val="000000"/>
          <w:sz w:val="32"/>
          <w:szCs w:val="32"/>
        </w:rPr>
        <w:t>部分：标准化文件的结构和起草规则》（</w:t>
      </w:r>
      <w:r>
        <w:rPr>
          <w:rFonts w:hint="eastAsia" w:ascii="宋体" w:hAnsi="宋体" w:eastAsia="宋体" w:cs="宋体"/>
          <w:sz w:val="32"/>
          <w:szCs w:val="32"/>
        </w:rPr>
        <w:t>GB/T 1.1-2020</w:t>
      </w:r>
      <w:r>
        <w:rPr>
          <w:rFonts w:hint="eastAsia" w:ascii="仿宋_GB2312" w:hAnsi="仿宋_GB2312" w:eastAsia="仿宋_GB2312" w:cs="仿宋_GB2312"/>
          <w:color w:val="000000"/>
          <w:sz w:val="32"/>
          <w:szCs w:val="32"/>
        </w:rPr>
        <w:t>）的规定。</w:t>
      </w:r>
    </w:p>
    <w:p>
      <w:pPr>
        <w:spacing w:line="560" w:lineRule="exact"/>
        <w:ind w:firstLine="640" w:firstLineChars="200"/>
        <w:outlineLvl w:val="0"/>
        <w:rPr>
          <w:rFonts w:ascii="楷体" w:hAnsi="楷体" w:eastAsia="楷体" w:cs="楷体"/>
          <w:sz w:val="32"/>
          <w:szCs w:val="32"/>
        </w:rPr>
      </w:pPr>
      <w:r>
        <w:rPr>
          <w:rFonts w:hint="eastAsia" w:ascii="楷体" w:hAnsi="楷体" w:eastAsia="楷体" w:cs="楷体"/>
          <w:sz w:val="32"/>
          <w:szCs w:val="32"/>
        </w:rPr>
        <w:t>（二）标准主要技术内容及确定依据</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《规范》正文共</w:t>
      </w:r>
      <w:r>
        <w:rPr>
          <w:rFonts w:hint="eastAsia" w:ascii="宋体" w:hAnsi="宋体" w:eastAsia="宋体" w:cs="宋体"/>
          <w:sz w:val="32"/>
          <w:szCs w:val="32"/>
        </w:rPr>
        <w:t>6</w:t>
      </w:r>
      <w:r>
        <w:rPr>
          <w:rFonts w:hint="eastAsia" w:ascii="仿宋_GB2312" w:hAnsi="仿宋_GB2312" w:eastAsia="仿宋_GB2312" w:cs="仿宋_GB2312"/>
          <w:color w:val="000000"/>
          <w:sz w:val="32"/>
          <w:szCs w:val="32"/>
        </w:rPr>
        <w:t>部分，明确了标准适用的范围、规范性引用文件、术语定义、基本要求、评估程序、评估内容等，并对评估方式、应急准备、应急响应、应急处置、应急保障、评估报告等方面进行了说明。</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具体内容包括：</w:t>
      </w:r>
    </w:p>
    <w:p>
      <w:pPr>
        <w:spacing w:line="560" w:lineRule="exact"/>
        <w:ind w:firstLine="640" w:firstLineChars="200"/>
        <w:rPr>
          <w:rFonts w:ascii="仿宋_GB2312" w:hAnsi="仿宋_GB2312" w:eastAsia="仿宋_GB2312" w:cs="仿宋_GB2312"/>
          <w:sz w:val="32"/>
          <w:szCs w:val="32"/>
        </w:rPr>
      </w:pPr>
      <w:r>
        <w:rPr>
          <w:rFonts w:hint="eastAsia" w:ascii="宋体" w:hAnsi="宋体" w:eastAsia="宋体" w:cs="宋体"/>
          <w:sz w:val="32"/>
          <w:szCs w:val="32"/>
        </w:rPr>
        <w:t>1.</w:t>
      </w:r>
      <w:r>
        <w:rPr>
          <w:rFonts w:hint="eastAsia" w:ascii="仿宋_GB2312" w:hAnsi="仿宋_GB2312" w:eastAsia="仿宋_GB2312" w:cs="仿宋_GB2312"/>
          <w:color w:val="000000"/>
          <w:sz w:val="32"/>
          <w:szCs w:val="32"/>
        </w:rPr>
        <w:t>第一部分是标准适用范围，规定了</w:t>
      </w:r>
      <w:r>
        <w:rPr>
          <w:rFonts w:hint="eastAsia" w:ascii="仿宋_GB2312" w:hAnsi="仿宋_GB2312" w:eastAsia="仿宋_GB2312" w:cs="仿宋_GB2312"/>
          <w:sz w:val="32"/>
          <w:szCs w:val="32"/>
        </w:rPr>
        <w:t>标准适用于依法成立的事故调查组所开展的</w:t>
      </w:r>
      <w:r>
        <w:rPr>
          <w:rFonts w:hint="eastAsia" w:ascii="仿宋_GB2312" w:hAnsi="仿宋_GB2312" w:eastAsia="仿宋_GB2312" w:cs="仿宋_GB2312"/>
          <w:sz w:val="32"/>
          <w:szCs w:val="32"/>
          <w:lang w:eastAsia="zh-CN"/>
        </w:rPr>
        <w:t>较大及以上</w:t>
      </w:r>
      <w:r>
        <w:rPr>
          <w:rFonts w:hint="eastAsia" w:ascii="仿宋_GB2312" w:hAnsi="仿宋_GB2312" w:eastAsia="仿宋_GB2312" w:cs="仿宋_GB2312"/>
          <w:sz w:val="32"/>
          <w:szCs w:val="32"/>
        </w:rPr>
        <w:t>生产安全事故应急救援评估工作。</w:t>
      </w:r>
    </w:p>
    <w:p>
      <w:pPr>
        <w:spacing w:line="560" w:lineRule="exact"/>
        <w:ind w:firstLine="640" w:firstLineChars="200"/>
        <w:rPr>
          <w:rFonts w:ascii="仿宋_GB2312" w:hAnsi="仿宋_GB2312" w:eastAsia="仿宋_GB2312" w:cs="仿宋_GB2312"/>
          <w:color w:val="000000"/>
          <w:sz w:val="32"/>
          <w:szCs w:val="32"/>
        </w:rPr>
      </w:pPr>
      <w:r>
        <w:rPr>
          <w:rFonts w:hint="eastAsia" w:ascii="宋体" w:hAnsi="宋体" w:eastAsia="宋体" w:cs="宋体"/>
          <w:sz w:val="32"/>
          <w:szCs w:val="32"/>
        </w:rPr>
        <w:t>2.</w:t>
      </w:r>
      <w:r>
        <w:rPr>
          <w:rFonts w:hint="eastAsia" w:ascii="仿宋_GB2312" w:hAnsi="仿宋_GB2312" w:eastAsia="仿宋_GB2312" w:cs="仿宋_GB2312"/>
          <w:color w:val="000000"/>
          <w:sz w:val="32"/>
          <w:szCs w:val="32"/>
        </w:rPr>
        <w:t>第二部分是规范性引用文件，列出了引用的相关法规标准。</w:t>
      </w:r>
    </w:p>
    <w:p>
      <w:pPr>
        <w:spacing w:line="560" w:lineRule="exact"/>
        <w:ind w:firstLine="640" w:firstLineChars="200"/>
        <w:rPr>
          <w:rFonts w:ascii="仿宋_GB2312" w:hAnsi="仿宋_GB2312" w:eastAsia="仿宋_GB2312" w:cs="仿宋_GB2312"/>
          <w:color w:val="000000"/>
          <w:sz w:val="32"/>
          <w:szCs w:val="32"/>
        </w:rPr>
      </w:pPr>
      <w:r>
        <w:rPr>
          <w:rFonts w:hint="eastAsia" w:ascii="宋体" w:hAnsi="宋体" w:eastAsia="宋体" w:cs="宋体"/>
          <w:sz w:val="32"/>
          <w:szCs w:val="32"/>
        </w:rPr>
        <w:t>3.</w:t>
      </w:r>
      <w:r>
        <w:rPr>
          <w:rFonts w:hint="eastAsia" w:ascii="仿宋_GB2312" w:hAnsi="仿宋_GB2312" w:eastAsia="仿宋_GB2312" w:cs="仿宋_GB2312"/>
          <w:color w:val="000000"/>
          <w:sz w:val="32"/>
          <w:szCs w:val="32"/>
        </w:rPr>
        <w:t>第三部分是术语和定义，对应急救援评估、应急预案等进行了定义。</w:t>
      </w:r>
    </w:p>
    <w:p>
      <w:pPr>
        <w:spacing w:line="560" w:lineRule="exact"/>
        <w:ind w:firstLine="640" w:firstLineChars="200"/>
        <w:rPr>
          <w:rFonts w:ascii="仿宋_GB2312" w:hAnsi="仿宋_GB2312" w:eastAsia="仿宋_GB2312" w:cs="仿宋_GB2312"/>
          <w:color w:val="000000"/>
          <w:sz w:val="32"/>
          <w:szCs w:val="32"/>
        </w:rPr>
      </w:pPr>
      <w:r>
        <w:rPr>
          <w:rFonts w:hint="eastAsia" w:ascii="宋体" w:hAnsi="宋体" w:eastAsia="宋体" w:cs="宋体"/>
          <w:sz w:val="32"/>
          <w:szCs w:val="32"/>
        </w:rPr>
        <w:t>4.</w:t>
      </w:r>
      <w:r>
        <w:rPr>
          <w:rFonts w:hint="eastAsia" w:ascii="仿宋_GB2312" w:hAnsi="仿宋_GB2312" w:eastAsia="仿宋_GB2312" w:cs="仿宋_GB2312"/>
          <w:color w:val="000000"/>
          <w:sz w:val="32"/>
          <w:szCs w:val="32"/>
        </w:rPr>
        <w:t>第四部分是应急救援评估的基本要求，规定了应急救援评估的目的、对象、依据、原则、方式等。</w:t>
      </w:r>
    </w:p>
    <w:p>
      <w:pPr>
        <w:spacing w:line="560" w:lineRule="exact"/>
        <w:ind w:firstLine="640" w:firstLineChars="200"/>
        <w:rPr>
          <w:rFonts w:ascii="仿宋_GB2312" w:hAnsi="仿宋_GB2312" w:eastAsia="仿宋_GB2312" w:cs="仿宋_GB2312"/>
          <w:color w:val="000000"/>
          <w:sz w:val="32"/>
          <w:szCs w:val="32"/>
        </w:rPr>
      </w:pPr>
      <w:r>
        <w:rPr>
          <w:rFonts w:hint="eastAsia" w:ascii="宋体" w:hAnsi="宋体" w:eastAsia="宋体" w:cs="宋体"/>
          <w:sz w:val="32"/>
          <w:szCs w:val="32"/>
        </w:rPr>
        <w:t>5.</w:t>
      </w:r>
      <w:r>
        <w:rPr>
          <w:rFonts w:hint="eastAsia" w:ascii="仿宋_GB2312" w:hAnsi="仿宋_GB2312" w:eastAsia="仿宋_GB2312" w:cs="仿宋_GB2312"/>
          <w:color w:val="000000"/>
          <w:sz w:val="32"/>
          <w:szCs w:val="32"/>
        </w:rPr>
        <w:t>第五部分是评估程序，对准备与启动、评估实施、评估结束等予以明确。</w:t>
      </w:r>
    </w:p>
    <w:p>
      <w:pPr>
        <w:spacing w:line="560" w:lineRule="exact"/>
        <w:ind w:firstLine="640" w:firstLineChars="200"/>
        <w:rPr>
          <w:rFonts w:ascii="仿宋_GB2312" w:hAnsi="仿宋_GB2312" w:eastAsia="仿宋_GB2312" w:cs="仿宋_GB2312"/>
          <w:color w:val="000000"/>
          <w:sz w:val="32"/>
          <w:szCs w:val="32"/>
        </w:rPr>
      </w:pPr>
      <w:r>
        <w:rPr>
          <w:rFonts w:hint="eastAsia" w:ascii="宋体" w:hAnsi="宋体" w:eastAsia="宋体" w:cs="宋体"/>
          <w:sz w:val="32"/>
          <w:szCs w:val="32"/>
        </w:rPr>
        <w:t>6.</w:t>
      </w:r>
      <w:r>
        <w:rPr>
          <w:rFonts w:hint="eastAsia" w:ascii="仿宋_GB2312" w:hAnsi="仿宋_GB2312" w:eastAsia="仿宋_GB2312" w:cs="仿宋_GB2312"/>
          <w:color w:val="000000"/>
          <w:sz w:val="32"/>
          <w:szCs w:val="32"/>
        </w:rPr>
        <w:t>第六部分是评估内容，主要包括对事故单位、事发地人民政府评估的具体内容，包括应急准备、</w:t>
      </w:r>
      <w:r>
        <w:rPr>
          <w:rFonts w:hint="eastAsia" w:ascii="仿宋_GB2312" w:hAnsi="仿宋_GB2312" w:eastAsia="仿宋_GB2312" w:cs="仿宋_GB2312"/>
          <w:color w:val="000000"/>
          <w:sz w:val="32"/>
          <w:szCs w:val="32"/>
          <w:lang w:eastAsia="zh-CN"/>
        </w:rPr>
        <w:t>预警、</w:t>
      </w:r>
      <w:r>
        <w:rPr>
          <w:rFonts w:hint="eastAsia" w:ascii="仿宋_GB2312" w:hAnsi="仿宋_GB2312" w:eastAsia="仿宋_GB2312" w:cs="仿宋_GB2312"/>
          <w:color w:val="000000"/>
          <w:sz w:val="32"/>
          <w:szCs w:val="32"/>
        </w:rPr>
        <w:t>应急响应、应急处置、应急保障</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附录</w:t>
      </w:r>
      <w:r>
        <w:rPr>
          <w:rFonts w:hint="eastAsia" w:ascii="宋体" w:hAnsi="宋体" w:eastAsia="宋体" w:cs="宋体"/>
          <w:sz w:val="32"/>
          <w:szCs w:val="32"/>
        </w:rPr>
        <w:t>A</w:t>
      </w:r>
      <w:r>
        <w:rPr>
          <w:rFonts w:hint="eastAsia" w:ascii="仿宋_GB2312" w:hAnsi="仿宋_GB2312" w:eastAsia="仿宋_GB2312" w:cs="仿宋_GB2312"/>
          <w:color w:val="000000"/>
          <w:sz w:val="32"/>
          <w:szCs w:val="32"/>
        </w:rPr>
        <w:t>规定了</w:t>
      </w:r>
      <w:r>
        <w:rPr>
          <w:rFonts w:hint="default" w:ascii="仿宋_GB2312" w:hAnsi="仿宋_GB2312" w:eastAsia="仿宋_GB2312" w:cs="仿宋_GB2312"/>
          <w:color w:val="000000"/>
          <w:sz w:val="32"/>
          <w:szCs w:val="32"/>
          <w:lang w:val="en"/>
        </w:rPr>
        <w:t>生产安全事故</w:t>
      </w:r>
      <w:r>
        <w:rPr>
          <w:rFonts w:hint="eastAsia" w:ascii="仿宋_GB2312" w:hAnsi="仿宋_GB2312" w:eastAsia="仿宋_GB2312" w:cs="仿宋_GB2312"/>
          <w:color w:val="000000"/>
          <w:sz w:val="32"/>
          <w:szCs w:val="32"/>
        </w:rPr>
        <w:t>应急救援评估表，附录</w:t>
      </w:r>
      <w:r>
        <w:rPr>
          <w:rFonts w:hint="eastAsia" w:ascii="宋体" w:hAnsi="宋体" w:eastAsia="宋体" w:cs="宋体"/>
          <w:sz w:val="32"/>
          <w:szCs w:val="32"/>
        </w:rPr>
        <w:t>B</w:t>
      </w:r>
      <w:r>
        <w:rPr>
          <w:rFonts w:hint="eastAsia" w:ascii="仿宋_GB2312" w:hAnsi="仿宋_GB2312" w:eastAsia="仿宋_GB2312" w:cs="仿宋_GB2312"/>
          <w:color w:val="000000"/>
          <w:sz w:val="32"/>
          <w:szCs w:val="32"/>
        </w:rPr>
        <w:t>规定了生产安全事故应急救援评估报告大纲。</w:t>
      </w:r>
    </w:p>
    <w:p>
      <w:pPr>
        <w:spacing w:line="560" w:lineRule="exact"/>
        <w:ind w:firstLine="640" w:firstLineChars="200"/>
        <w:rPr>
          <w:rFonts w:ascii="宋体" w:hAnsi="宋体" w:eastAsia="黑体" w:cs="Times New Roman"/>
          <w:sz w:val="32"/>
          <w:szCs w:val="32"/>
        </w:rPr>
      </w:pPr>
      <w:r>
        <w:rPr>
          <w:rFonts w:hint="eastAsia" w:ascii="宋体" w:hAnsi="宋体" w:eastAsia="黑体" w:cs="Times New Roman"/>
          <w:sz w:val="32"/>
          <w:szCs w:val="32"/>
        </w:rPr>
        <w:t>三、与有关法律、行政法规和其他强制性标准的关系</w:t>
      </w:r>
    </w:p>
    <w:p>
      <w:pPr>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《规范》与《突发事件应对法》《安全生产法》等现行法律法规是具有统一性和协调性的，是贯彻落实《条例》的具体要求，对有关法规条款进行细化和完善，便于操作实施。</w:t>
      </w:r>
    </w:p>
    <w:p>
      <w:pPr>
        <w:shd w:val="clear" w:color="auto" w:fill="FFFFFF"/>
        <w:spacing w:line="560" w:lineRule="exact"/>
        <w:ind w:firstLine="640" w:firstLineChars="200"/>
        <w:rPr>
          <w:rFonts w:ascii="仿宋" w:hAnsi="仿宋" w:eastAsia="仿宋" w:cs="仿宋_GB2312"/>
          <w:color w:val="000000"/>
          <w:sz w:val="32"/>
          <w:szCs w:val="32"/>
        </w:rPr>
      </w:pPr>
      <w:r>
        <w:rPr>
          <w:rFonts w:hint="eastAsia" w:ascii="仿宋_GB2312" w:hAnsi="仿宋_GB2312" w:eastAsia="仿宋_GB2312" w:cs="仿宋_GB2312"/>
          <w:color w:val="000000"/>
          <w:sz w:val="32"/>
          <w:szCs w:val="32"/>
        </w:rPr>
        <w:t>与国家标准、行业标准无冲突。与《生产经营单位生产安全事故应急预案评估指南》（</w:t>
      </w:r>
      <w:r>
        <w:rPr>
          <w:rFonts w:hint="eastAsia" w:ascii="宋体" w:hAnsi="宋体" w:eastAsia="宋体" w:cs="宋体"/>
          <w:color w:val="000000"/>
          <w:sz w:val="32"/>
          <w:szCs w:val="32"/>
        </w:rPr>
        <w:t>AQ/T 9011</w:t>
      </w:r>
      <w:r>
        <w:rPr>
          <w:rFonts w:hint="eastAsia" w:ascii="仿宋_GB2312" w:hAnsi="仿宋_GB2312" w:eastAsia="仿宋_GB2312" w:cs="仿宋_GB2312"/>
          <w:color w:val="000000"/>
          <w:sz w:val="32"/>
          <w:szCs w:val="32"/>
        </w:rPr>
        <w:t>）、《生产安全事故应急演练评估规范》（</w:t>
      </w:r>
      <w:r>
        <w:rPr>
          <w:rFonts w:hint="eastAsia" w:ascii="宋体" w:hAnsi="宋体" w:eastAsia="宋体" w:cs="宋体"/>
          <w:color w:val="000000"/>
          <w:sz w:val="32"/>
          <w:szCs w:val="32"/>
        </w:rPr>
        <w:t>AQ/T 9009</w:t>
      </w:r>
      <w:r>
        <w:rPr>
          <w:rFonts w:hint="eastAsia" w:ascii="仿宋_GB2312" w:hAnsi="仿宋_GB2312" w:eastAsia="仿宋_GB2312" w:cs="仿宋_GB2312"/>
          <w:color w:val="000000"/>
          <w:sz w:val="32"/>
          <w:szCs w:val="32"/>
        </w:rPr>
        <w:t>）等标准内容侧重点不同。</w:t>
      </w:r>
    </w:p>
    <w:p>
      <w:pPr>
        <w:spacing w:line="560" w:lineRule="exact"/>
        <w:ind w:firstLine="640" w:firstLineChars="200"/>
        <w:rPr>
          <w:rFonts w:ascii="宋体" w:hAnsi="宋体" w:eastAsia="黑体" w:cs="Times New Roman"/>
          <w:sz w:val="32"/>
          <w:szCs w:val="32"/>
        </w:rPr>
      </w:pPr>
      <w:r>
        <w:rPr>
          <w:rFonts w:hint="eastAsia" w:ascii="宋体" w:hAnsi="宋体" w:eastAsia="黑体" w:cs="Times New Roman"/>
          <w:sz w:val="32"/>
          <w:szCs w:val="32"/>
        </w:rPr>
        <w:t>四、与国际标准化组织、其他国家或者地区有关法律法规和标准的对比分析</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《规范》明确了应急救援评估的基本要求、评估程序和评估内容，制定了具体的评估表，参考了国内外有关法律法规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标准</w:t>
      </w:r>
      <w:r>
        <w:rPr>
          <w:rFonts w:hint="eastAsia" w:ascii="仿宋_GB2312" w:hAnsi="仿宋_GB2312" w:eastAsia="仿宋_GB2312" w:cs="仿宋_GB2312"/>
          <w:color w:val="000000"/>
          <w:sz w:val="32"/>
          <w:szCs w:val="32"/>
          <w:lang w:eastAsia="zh-CN"/>
        </w:rPr>
        <w:t>和</w:t>
      </w:r>
      <w:r>
        <w:rPr>
          <w:rFonts w:hint="eastAsia" w:ascii="仿宋_GB2312" w:hAnsi="仿宋_GB2312" w:eastAsia="仿宋_GB2312" w:cs="仿宋_GB2312"/>
          <w:color w:val="000000"/>
          <w:sz w:val="32"/>
          <w:szCs w:val="32"/>
        </w:rPr>
        <w:t>文献，是我国应急管理和调查评估领域的有效补充。</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未查到国际生产安全事故应急救援评估相关的标准。</w:t>
      </w:r>
    </w:p>
    <w:p>
      <w:pPr>
        <w:spacing w:line="560" w:lineRule="exact"/>
        <w:ind w:firstLine="640" w:firstLineChars="200"/>
        <w:rPr>
          <w:rFonts w:hint="eastAsia" w:ascii="等线" w:hAnsi="等线" w:eastAsia="仿宋_GB2312" w:cs="Times New Roman"/>
          <w:szCs w:val="22"/>
          <w:lang w:eastAsia="zh-CN"/>
        </w:rPr>
      </w:pPr>
      <w:r>
        <w:rPr>
          <w:rFonts w:hint="eastAsia" w:ascii="仿宋_GB2312" w:hAnsi="仿宋_GB2312" w:eastAsia="仿宋_GB2312" w:cs="仿宋_GB2312"/>
          <w:sz w:val="32"/>
          <w:szCs w:val="32"/>
        </w:rPr>
        <w:t>北京市2021年发布了地方标准《生产安全事故应急救援评估指南》（DB11/T 1879），由中国安全生产科学研究院作为起草单位。本《规范》</w:t>
      </w:r>
      <w:r>
        <w:rPr>
          <w:rFonts w:hint="eastAsia" w:ascii="仿宋_GB2312" w:hAnsi="仿宋_GB2312" w:eastAsia="仿宋_GB2312" w:cs="仿宋_GB2312"/>
          <w:sz w:val="32"/>
          <w:szCs w:val="32"/>
          <w:lang w:eastAsia="zh-CN"/>
        </w:rPr>
        <w:t>参考了</w:t>
      </w:r>
      <w:r>
        <w:rPr>
          <w:rFonts w:hint="eastAsia" w:ascii="仿宋_GB2312" w:hAnsi="仿宋_GB2312" w:eastAsia="仿宋_GB2312" w:cs="仿宋_GB2312"/>
          <w:sz w:val="32"/>
          <w:szCs w:val="32"/>
        </w:rPr>
        <w:t>北京市地方标准，</w:t>
      </w:r>
      <w:r>
        <w:rPr>
          <w:rFonts w:hint="eastAsia" w:ascii="仿宋_GB2312" w:hAnsi="仿宋_GB2312" w:eastAsia="仿宋_GB2312" w:cs="仿宋_GB2312"/>
          <w:sz w:val="32"/>
          <w:szCs w:val="32"/>
          <w:lang w:eastAsia="zh-CN"/>
        </w:rPr>
        <w:t>重点总结了近年来</w:t>
      </w:r>
      <w:r>
        <w:rPr>
          <w:rFonts w:hint="eastAsia" w:ascii="仿宋_GB2312" w:hAnsi="仿宋_GB2312" w:eastAsia="仿宋_GB2312" w:cs="仿宋_GB2312"/>
          <w:sz w:val="32"/>
          <w:szCs w:val="32"/>
        </w:rPr>
        <w:t>重特大事故应急救援评估实践</w:t>
      </w:r>
      <w:r>
        <w:rPr>
          <w:rFonts w:hint="eastAsia" w:ascii="仿宋_GB2312" w:hAnsi="仿宋_GB2312" w:eastAsia="仿宋_GB2312" w:cs="仿宋_GB2312"/>
          <w:sz w:val="32"/>
          <w:szCs w:val="32"/>
          <w:lang w:eastAsia="zh-CN"/>
        </w:rPr>
        <w:t>中的经验做法，系统归纳、提炼，形成行业标准。</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五、</w:t>
      </w:r>
      <w:r>
        <w:rPr>
          <w:rFonts w:ascii="黑体" w:hAnsi="黑体" w:eastAsia="黑体" w:cs="Times New Roman"/>
          <w:sz w:val="32"/>
          <w:szCs w:val="32"/>
        </w:rPr>
        <w:t>重大分歧意见的处理经过和依据</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六、作为强制性标准的建议及理由</w:t>
      </w:r>
    </w:p>
    <w:p>
      <w:pPr>
        <w:spacing w:line="560" w:lineRule="exact"/>
        <w:ind w:firstLine="643" w:firstLineChars="200"/>
        <w:rPr>
          <w:rFonts w:ascii="宋体" w:hAnsi="宋体" w:eastAsia="仿宋_GB2312" w:cs="Times New Roman"/>
          <w:sz w:val="32"/>
          <w:szCs w:val="32"/>
        </w:rPr>
      </w:pPr>
      <w:r>
        <w:rPr>
          <w:rFonts w:hint="eastAsia" w:ascii="宋体" w:hAnsi="宋体" w:eastAsia="仿宋_GB2312" w:cs="Times New Roman"/>
          <w:b/>
          <w:bCs/>
          <w:sz w:val="32"/>
          <w:szCs w:val="32"/>
        </w:rPr>
        <w:t>一是</w:t>
      </w:r>
      <w:r>
        <w:rPr>
          <w:rFonts w:hint="eastAsia" w:ascii="宋体" w:hAnsi="宋体" w:eastAsia="仿宋_GB2312" w:cs="Times New Roman"/>
          <w:sz w:val="32"/>
          <w:szCs w:val="32"/>
        </w:rPr>
        <w:t>生产安全事故应急救援成功与否直接关系到人民生命财产安全，依据《标准化法》（2017年修订）第十条“对保障人身健康和生命财产安全，满足社会经济管理基本需要的技术要求，应当制定强制性的国家标准”和《应急管理标准化工作管理办法》第二十条“对于依法需要强制实施的应急管理标准，应当制定强制性标准”的规定，《生产安全事故应急救援评估规范》应当制定强制性标准。</w:t>
      </w:r>
      <w:r>
        <w:rPr>
          <w:rFonts w:hint="eastAsia" w:ascii="宋体" w:hAnsi="宋体" w:eastAsia="仿宋_GB2312" w:cs="Times New Roman"/>
          <w:b/>
          <w:bCs/>
          <w:sz w:val="32"/>
          <w:szCs w:val="32"/>
        </w:rPr>
        <w:t>二是</w:t>
      </w:r>
      <w:r>
        <w:rPr>
          <w:rFonts w:hint="eastAsia" w:ascii="宋体" w:hAnsi="宋体" w:eastAsia="仿宋_GB2312" w:cs="Times New Roman"/>
          <w:sz w:val="32"/>
          <w:szCs w:val="32"/>
        </w:rPr>
        <w:t>《安全生产法》等法律法规规章均对生产安全事故应急救援提出了严格要求，尤其是《条例》明确规定“按照国家有关规定成立的生产安全事故调查组应当对应急救援工作进行评估，并在事故调查报告中作出评估结论”，该标准为强制性标准，将为法规规章实施提供更有力的技术支撑和必要补充。</w:t>
      </w:r>
      <w:r>
        <w:rPr>
          <w:rFonts w:hint="eastAsia" w:ascii="宋体" w:hAnsi="宋体" w:eastAsia="仿宋_GB2312" w:cs="Times New Roman"/>
          <w:b/>
          <w:bCs/>
          <w:sz w:val="32"/>
          <w:szCs w:val="32"/>
        </w:rPr>
        <w:t>三是</w:t>
      </w:r>
      <w:r>
        <w:rPr>
          <w:rFonts w:hint="eastAsia" w:ascii="宋体" w:hAnsi="宋体" w:eastAsia="仿宋_GB2312" w:cs="Times New Roman"/>
          <w:sz w:val="32"/>
          <w:szCs w:val="32"/>
        </w:rPr>
        <w:t>目前对于事故应急救援评估没有一个全国通用的标准，救援评估报告存在不规范的现象，将该标准制定为强制性标准，可以进一步规范事故应急救援评估工作，</w:t>
      </w:r>
      <w:r>
        <w:rPr>
          <w:rFonts w:hint="eastAsia" w:ascii="方正仿宋_GBK" w:hAnsi="方正仿宋_GBK" w:eastAsia="方正仿宋_GBK" w:cs="方正仿宋_GBK"/>
          <w:sz w:val="32"/>
          <w:szCs w:val="32"/>
        </w:rPr>
        <w:t>提升应急救援评估能力</w:t>
      </w:r>
      <w:r>
        <w:rPr>
          <w:rFonts w:hint="eastAsia" w:ascii="方正仿宋_GBK" w:hAnsi="方正仿宋_GBK" w:eastAsia="方正仿宋_GBK" w:cs="方正仿宋_GBK"/>
          <w:sz w:val="32"/>
          <w:szCs w:val="32"/>
          <w:lang w:eastAsia="zh-CN"/>
        </w:rPr>
        <w:t>和</w:t>
      </w:r>
      <w:r>
        <w:rPr>
          <w:rFonts w:hint="eastAsia" w:ascii="方正仿宋_GBK" w:hAnsi="方正仿宋_GBK" w:eastAsia="方正仿宋_GBK" w:cs="方正仿宋_GBK"/>
          <w:sz w:val="32"/>
          <w:szCs w:val="32"/>
        </w:rPr>
        <w:t>水平</w:t>
      </w:r>
      <w:r>
        <w:rPr>
          <w:rFonts w:hint="eastAsia" w:ascii="宋体" w:hAnsi="宋体" w:eastAsia="仿宋_GB2312" w:cs="Times New Roman"/>
          <w:sz w:val="32"/>
          <w:szCs w:val="32"/>
        </w:rPr>
        <w:t>。</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 xml:space="preserve">七、标准自发布日期至实施日期的过渡期建议及理由 </w:t>
      </w:r>
    </w:p>
    <w:p>
      <w:pPr>
        <w:spacing w:line="560" w:lineRule="exact"/>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《规范》由于需要广泛开展征求意见等工作，后期修改完善内容较多，建议加快征求意见、审查和发布工作，于</w:t>
      </w:r>
      <w:r>
        <w:rPr>
          <w:rFonts w:hint="eastAsia" w:ascii="宋体" w:hAnsi="宋体" w:eastAsia="宋体" w:cs="宋体"/>
          <w:color w:val="000000"/>
          <w:sz w:val="32"/>
          <w:szCs w:val="32"/>
        </w:rPr>
        <w:t>2023</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eastAsia="zh-CN"/>
        </w:rPr>
        <w:t>下半年</w:t>
      </w:r>
      <w:r>
        <w:rPr>
          <w:rFonts w:hint="eastAsia" w:ascii="仿宋_GB2312" w:hAnsi="仿宋_GB2312" w:eastAsia="仿宋_GB2312" w:cs="仿宋_GB2312"/>
          <w:color w:val="000000"/>
          <w:sz w:val="32"/>
          <w:szCs w:val="32"/>
        </w:rPr>
        <w:t>完成发布实施，及时为我国生产安全事故应急救援评估提供指引，提升处置效能。</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 xml:space="preserve">八、与实施标准有关的政策措施 </w:t>
      </w:r>
    </w:p>
    <w:p>
      <w:pPr>
        <w:spacing w:line="560" w:lineRule="exact"/>
        <w:ind w:firstLine="640" w:firstLineChars="200"/>
        <w:outlineLvl w:val="0"/>
        <w:rPr>
          <w:rFonts w:ascii="楷体" w:hAnsi="楷体" w:eastAsia="楷体" w:cs="楷体"/>
          <w:sz w:val="32"/>
          <w:szCs w:val="32"/>
        </w:rPr>
      </w:pPr>
      <w:r>
        <w:rPr>
          <w:rFonts w:hint="eastAsia" w:ascii="楷体" w:hAnsi="楷体" w:eastAsia="楷体" w:cs="楷体"/>
          <w:sz w:val="32"/>
          <w:szCs w:val="32"/>
        </w:rPr>
        <w:t>（一）宣传培训</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标准实施过程中加强标准的宣贯指导工作，制定标准宣传培训计划，组织开展标准宣贯培训工作，指导各级应急管理部门和有关行业部门按照《规范》的要求组织开展评估工作。</w:t>
      </w:r>
    </w:p>
    <w:p>
      <w:pPr>
        <w:spacing w:line="560" w:lineRule="exact"/>
        <w:ind w:firstLine="640" w:firstLineChars="200"/>
        <w:outlineLvl w:val="0"/>
        <w:rPr>
          <w:rFonts w:ascii="楷体" w:hAnsi="楷体" w:eastAsia="楷体" w:cs="楷体"/>
          <w:sz w:val="32"/>
          <w:szCs w:val="32"/>
        </w:rPr>
      </w:pPr>
      <w:r>
        <w:rPr>
          <w:rFonts w:hint="eastAsia" w:ascii="楷体" w:hAnsi="楷体" w:eastAsia="楷体" w:cs="楷体"/>
          <w:sz w:val="32"/>
          <w:szCs w:val="32"/>
        </w:rPr>
        <w:t>（二）动态评估</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及时收集整理</w:t>
      </w:r>
      <w:r>
        <w:rPr>
          <w:rFonts w:hint="eastAsia" w:ascii="仿宋_GB2312" w:hAnsi="仿宋_GB2312" w:eastAsia="仿宋_GB2312" w:cs="仿宋_GB2312"/>
          <w:color w:val="000000"/>
          <w:sz w:val="32"/>
          <w:szCs w:val="32"/>
        </w:rPr>
        <w:t>各级应急管理部门</w:t>
      </w:r>
      <w:r>
        <w:rPr>
          <w:rFonts w:hint="eastAsia" w:ascii="仿宋_GB2312" w:hAnsi="仿宋_GB2312" w:eastAsia="仿宋_GB2312" w:cs="仿宋_GB2312"/>
          <w:sz w:val="32"/>
          <w:szCs w:val="32"/>
        </w:rPr>
        <w:t>在《规范》使用过程中出现的问题，对《规范》的实施效果进行动态评估。相关行业可在本标准的基础上，进一步编制适合行业实际的应急救援评估标准。</w:t>
      </w:r>
    </w:p>
    <w:p>
      <w:pPr>
        <w:spacing w:line="560" w:lineRule="exact"/>
        <w:ind w:firstLine="640" w:firstLineChars="200"/>
        <w:rPr>
          <w:rFonts w:ascii="宋体" w:hAnsi="宋体" w:eastAsia="黑体" w:cs="Times New Roman"/>
          <w:sz w:val="32"/>
          <w:szCs w:val="32"/>
        </w:rPr>
      </w:pPr>
      <w:r>
        <w:rPr>
          <w:rFonts w:hint="eastAsia" w:ascii="宋体" w:hAnsi="宋体" w:eastAsia="黑体" w:cs="Times New Roman"/>
          <w:sz w:val="32"/>
          <w:szCs w:val="32"/>
        </w:rPr>
        <w:t>九、是否需要对外通报的建议及理由</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spacing w:line="560" w:lineRule="exact"/>
        <w:ind w:firstLine="640" w:firstLineChars="200"/>
        <w:outlineLvl w:val="0"/>
        <w:rPr>
          <w:rFonts w:ascii="黑体" w:hAnsi="黑体" w:eastAsia="黑体" w:cs="Times New Roman"/>
          <w:sz w:val="32"/>
          <w:szCs w:val="32"/>
        </w:rPr>
      </w:pPr>
      <w:r>
        <w:rPr>
          <w:rFonts w:hint="eastAsia" w:ascii="黑体" w:hAnsi="黑体" w:eastAsia="黑体" w:cs="Times New Roman"/>
          <w:sz w:val="32"/>
          <w:szCs w:val="32"/>
        </w:rPr>
        <w:t>十、</w:t>
      </w:r>
      <w:r>
        <w:rPr>
          <w:rFonts w:ascii="黑体" w:hAnsi="黑体" w:eastAsia="黑体" w:cs="Times New Roman"/>
          <w:sz w:val="32"/>
          <w:szCs w:val="32"/>
        </w:rPr>
        <w:t>废止现行有关标准的建议</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spacing w:line="56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十</w:t>
      </w:r>
      <w:r>
        <w:rPr>
          <w:rFonts w:hint="eastAsia" w:ascii="黑体" w:hAnsi="黑体" w:eastAsia="黑体" w:cs="Times New Roman"/>
          <w:sz w:val="32"/>
          <w:szCs w:val="32"/>
        </w:rPr>
        <w:t>一</w:t>
      </w:r>
      <w:r>
        <w:rPr>
          <w:rFonts w:ascii="黑体" w:hAnsi="黑体" w:eastAsia="黑体" w:cs="Times New Roman"/>
          <w:sz w:val="32"/>
          <w:szCs w:val="32"/>
        </w:rPr>
        <w:t>、涉及专利的有关说明</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spacing w:line="56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十</w:t>
      </w:r>
      <w:r>
        <w:rPr>
          <w:rFonts w:hint="eastAsia" w:ascii="黑体" w:hAnsi="黑体" w:eastAsia="黑体" w:cs="Times New Roman"/>
          <w:sz w:val="32"/>
          <w:szCs w:val="32"/>
        </w:rPr>
        <w:t>二</w:t>
      </w:r>
      <w:r>
        <w:rPr>
          <w:rFonts w:ascii="黑体" w:hAnsi="黑体" w:eastAsia="黑体" w:cs="Times New Roman"/>
          <w:sz w:val="32"/>
          <w:szCs w:val="32"/>
        </w:rPr>
        <w:t>、标准所涉及的产品、过程和服务目录</w:t>
      </w:r>
    </w:p>
    <w:p>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无。</w:t>
      </w:r>
    </w:p>
    <w:p>
      <w:pPr>
        <w:spacing w:line="560" w:lineRule="exact"/>
        <w:ind w:firstLine="640" w:firstLineChars="200"/>
        <w:outlineLvl w:val="0"/>
        <w:rPr>
          <w:rFonts w:ascii="黑体" w:hAnsi="黑体" w:eastAsia="黑体" w:cs="Times New Roman"/>
          <w:sz w:val="32"/>
          <w:szCs w:val="32"/>
        </w:rPr>
      </w:pPr>
      <w:r>
        <w:rPr>
          <w:rFonts w:ascii="黑体" w:hAnsi="黑体" w:eastAsia="黑体" w:cs="Times New Roman"/>
          <w:sz w:val="32"/>
          <w:szCs w:val="32"/>
        </w:rPr>
        <w:t>十</w:t>
      </w:r>
      <w:r>
        <w:rPr>
          <w:rFonts w:hint="eastAsia" w:ascii="黑体" w:hAnsi="黑体" w:eastAsia="黑体" w:cs="Times New Roman"/>
          <w:sz w:val="32"/>
          <w:szCs w:val="32"/>
        </w:rPr>
        <w:t>三</w:t>
      </w:r>
      <w:r>
        <w:rPr>
          <w:rFonts w:ascii="黑体" w:hAnsi="黑体" w:eastAsia="黑体" w:cs="Times New Roman"/>
          <w:sz w:val="32"/>
          <w:szCs w:val="32"/>
        </w:rPr>
        <w:t>、其他应予以说明的事项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无。</w:t>
      </w:r>
    </w:p>
    <w:p>
      <w:pPr>
        <w:rPr>
          <w:rFonts w:hint="eastAsia"/>
          <w:lang w:val="en-US" w:eastAsia="zh-CN"/>
        </w:rPr>
      </w:pPr>
      <w:r>
        <w:rPr>
          <w:rFonts w:hint="eastAsia"/>
          <w:lang w:val="en-US" w:eastAsia="zh-CN"/>
        </w:rPr>
        <w:br w:type="page"/>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eastAsia="zh-CN"/>
        </w:rPr>
        <w:t>附件</w:t>
      </w:r>
      <w:r>
        <w:rPr>
          <w:rFonts w:hint="eastAsia" w:ascii="黑体" w:hAnsi="黑体" w:eastAsia="黑体" w:cs="黑体"/>
          <w:b w:val="0"/>
          <w:bCs w:val="0"/>
          <w:color w:val="auto"/>
          <w:sz w:val="32"/>
          <w:szCs w:val="32"/>
          <w:lang w:val="en-US" w:eastAsia="zh-CN"/>
        </w:rPr>
        <w:t>3</w:t>
      </w:r>
    </w:p>
    <w:p>
      <w:pPr>
        <w:spacing w:line="560" w:lineRule="exact"/>
        <w:rPr>
          <w:rFonts w:hint="eastAsia" w:ascii="黑体" w:hAnsi="黑体" w:eastAsia="黑体"/>
          <w:sz w:val="32"/>
          <w:szCs w:val="32"/>
          <w:lang w:val="en-US" w:eastAsia="zh-CN"/>
        </w:rPr>
      </w:pPr>
    </w:p>
    <w:p>
      <w:pPr>
        <w:spacing w:line="240" w:lineRule="atLeas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应急管理标准项目征求意见表</w:t>
      </w:r>
    </w:p>
    <w:p>
      <w:pPr>
        <w:wordWrap w:val="0"/>
        <w:jc w:val="right"/>
        <w:rPr>
          <w:rFonts w:ascii="Times New Roman" w:hAnsi="Times New Roman" w:eastAsia="宋体"/>
          <w:sz w:val="21"/>
          <w:szCs w:val="21"/>
        </w:rPr>
      </w:pPr>
      <w:r>
        <w:rPr>
          <w:rFonts w:hint="eastAsia" w:ascii="Times New Roman" w:hAnsi="Times New Roman" w:eastAsia="宋体"/>
          <w:sz w:val="21"/>
          <w:szCs w:val="21"/>
        </w:rPr>
        <w:t>共    页 第    页</w:t>
      </w:r>
    </w:p>
    <w:tbl>
      <w:tblPr>
        <w:tblStyle w:val="14"/>
        <w:tblW w:w="9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9"/>
        <w:gridCol w:w="1548"/>
        <w:gridCol w:w="3261"/>
        <w:gridCol w:w="2427"/>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9995" w:type="dxa"/>
            <w:gridSpan w:val="5"/>
            <w:vAlign w:val="center"/>
          </w:tcPr>
          <w:p>
            <w:pPr>
              <w:rPr>
                <w:rFonts w:ascii="Times New Roman" w:hAnsi="Times New Roman" w:eastAsia="宋体"/>
                <w:sz w:val="21"/>
                <w:szCs w:val="21"/>
              </w:rPr>
            </w:pPr>
            <w:r>
              <w:rPr>
                <w:rFonts w:hint="eastAsia" w:ascii="Times New Roman" w:hAnsi="Times New Roman" w:eastAsia="宋体"/>
                <w:sz w:val="21"/>
                <w:szCs w:val="21"/>
              </w:rPr>
              <w:t>标准项目名称：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征求意见单位：</w:t>
            </w:r>
          </w:p>
        </w:tc>
        <w:tc>
          <w:tcPr>
            <w:tcW w:w="2427" w:type="dxa"/>
            <w:vAlign w:val="center"/>
          </w:tcPr>
          <w:p>
            <w:pPr>
              <w:rPr>
                <w:rFonts w:ascii="Times New Roman" w:hAnsi="Times New Roman" w:eastAsia="宋体"/>
                <w:sz w:val="21"/>
                <w:szCs w:val="21"/>
              </w:rPr>
            </w:pPr>
            <w:r>
              <w:rPr>
                <w:rFonts w:hint="eastAsia" w:ascii="Times New Roman" w:hAnsi="Times New Roman" w:eastAsia="宋体"/>
                <w:sz w:val="21"/>
                <w:szCs w:val="21"/>
              </w:rPr>
              <w:t>联系人：</w:t>
            </w:r>
          </w:p>
        </w:tc>
        <w:tc>
          <w:tcPr>
            <w:tcW w:w="1860" w:type="dxa"/>
            <w:vAlign w:val="center"/>
          </w:tcPr>
          <w:p>
            <w:pPr>
              <w:rPr>
                <w:rFonts w:ascii="Times New Roman" w:hAnsi="Times New Roman" w:eastAsia="宋体"/>
                <w:sz w:val="21"/>
                <w:szCs w:val="21"/>
              </w:rPr>
            </w:pPr>
            <w:r>
              <w:rPr>
                <w:rFonts w:hint="eastAsia" w:ascii="Times New Roman" w:hAnsi="Times New Roman" w:eastAsia="宋体"/>
                <w:sz w:val="21"/>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5708" w:type="dxa"/>
            <w:gridSpan w:val="3"/>
            <w:vAlign w:val="center"/>
          </w:tcPr>
          <w:p>
            <w:pPr>
              <w:rPr>
                <w:rFonts w:ascii="Times New Roman" w:hAnsi="Times New Roman" w:eastAsia="宋体"/>
                <w:sz w:val="21"/>
                <w:szCs w:val="21"/>
              </w:rPr>
            </w:pPr>
            <w:r>
              <w:rPr>
                <w:rFonts w:hint="eastAsia" w:ascii="Times New Roman" w:hAnsi="Times New Roman" w:eastAsia="宋体"/>
                <w:sz w:val="21"/>
                <w:szCs w:val="21"/>
              </w:rPr>
              <w:t>地址：</w:t>
            </w:r>
          </w:p>
        </w:tc>
        <w:tc>
          <w:tcPr>
            <w:tcW w:w="4287" w:type="dxa"/>
            <w:gridSpan w:val="2"/>
            <w:vAlign w:val="center"/>
          </w:tcPr>
          <w:p>
            <w:pPr>
              <w:rPr>
                <w:rFonts w:ascii="Times New Roman" w:hAnsi="Times New Roman" w:eastAsia="宋体"/>
                <w:sz w:val="21"/>
                <w:szCs w:val="21"/>
              </w:rPr>
            </w:pPr>
            <w:r>
              <w:rPr>
                <w:rFonts w:hint="eastAsia" w:ascii="Times New Roman" w:hAnsi="Times New Roman" w:eastAsia="宋体"/>
                <w:sz w:val="21"/>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99"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序 号</w:t>
            </w:r>
          </w:p>
        </w:tc>
        <w:tc>
          <w:tcPr>
            <w:tcW w:w="1548" w:type="dxa"/>
            <w:vAlign w:val="center"/>
          </w:tcPr>
          <w:p>
            <w:pPr>
              <w:jc w:val="center"/>
              <w:rPr>
                <w:rFonts w:ascii="Times New Roman" w:hAnsi="Times New Roman" w:eastAsia="宋体"/>
                <w:sz w:val="21"/>
                <w:szCs w:val="21"/>
              </w:rPr>
            </w:pPr>
            <w:r>
              <w:rPr>
                <w:rFonts w:hint="eastAsia" w:ascii="Times New Roman" w:hAnsi="Times New Roman" w:eastAsia="宋体"/>
                <w:sz w:val="21"/>
                <w:szCs w:val="21"/>
              </w:rPr>
              <w:t>标准章条编号</w:t>
            </w:r>
          </w:p>
        </w:tc>
        <w:tc>
          <w:tcPr>
            <w:tcW w:w="3261" w:type="dxa"/>
            <w:tcBorders>
              <w:bottom w:val="single" w:color="auto" w:sz="4" w:space="0"/>
            </w:tcBorders>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修改意见/建议</w:t>
            </w:r>
          </w:p>
        </w:tc>
        <w:tc>
          <w:tcPr>
            <w:tcW w:w="4287" w:type="dxa"/>
            <w:gridSpan w:val="2"/>
            <w:vAlign w:val="center"/>
          </w:tcPr>
          <w:p>
            <w:pPr>
              <w:jc w:val="center"/>
              <w:rPr>
                <w:rFonts w:ascii="Times New Roman" w:hAnsi="Times New Roman" w:eastAsia="宋体"/>
                <w:sz w:val="21"/>
                <w:szCs w:val="21"/>
              </w:rPr>
            </w:pPr>
            <w:r>
              <w:rPr>
                <w:rFonts w:hint="eastAsia" w:ascii="Times New Roman" w:hAnsi="Times New Roman" w:eastAsia="宋体"/>
                <w:sz w:val="21"/>
                <w:szCs w:val="21"/>
              </w:rPr>
              <w:t>修改理由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2</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3</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4</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5</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6</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7</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8</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9</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99" w:type="dxa"/>
            <w:vAlign w:val="center"/>
          </w:tcPr>
          <w:p>
            <w:pPr>
              <w:jc w:val="center"/>
              <w:rPr>
                <w:rFonts w:ascii="宋体" w:hAnsi="宋体" w:eastAsia="宋体"/>
                <w:sz w:val="21"/>
                <w:szCs w:val="21"/>
              </w:rPr>
            </w:pPr>
            <w:r>
              <w:rPr>
                <w:rFonts w:hint="eastAsia" w:ascii="宋体" w:hAnsi="宋体" w:eastAsia="宋体"/>
                <w:sz w:val="21"/>
                <w:szCs w:val="21"/>
              </w:rPr>
              <w:t>10</w:t>
            </w:r>
          </w:p>
        </w:tc>
        <w:tc>
          <w:tcPr>
            <w:tcW w:w="1548" w:type="dxa"/>
            <w:vAlign w:val="center"/>
          </w:tcPr>
          <w:p>
            <w:pPr>
              <w:jc w:val="center"/>
              <w:rPr>
                <w:rFonts w:ascii="Times New Roman" w:hAnsi="Times New Roman" w:eastAsia="宋体"/>
                <w:sz w:val="21"/>
                <w:szCs w:val="21"/>
              </w:rPr>
            </w:pPr>
          </w:p>
        </w:tc>
        <w:tc>
          <w:tcPr>
            <w:tcW w:w="3261" w:type="dxa"/>
            <w:tcBorders>
              <w:bottom w:val="single" w:color="auto" w:sz="4" w:space="0"/>
            </w:tcBorders>
            <w:vAlign w:val="center"/>
          </w:tcPr>
          <w:p>
            <w:pPr>
              <w:jc w:val="center"/>
              <w:rPr>
                <w:rFonts w:ascii="Times New Roman" w:hAnsi="Times New Roman" w:eastAsia="宋体"/>
                <w:sz w:val="21"/>
                <w:szCs w:val="21"/>
              </w:rPr>
            </w:pPr>
          </w:p>
        </w:tc>
        <w:tc>
          <w:tcPr>
            <w:tcW w:w="4287" w:type="dxa"/>
            <w:gridSpan w:val="2"/>
            <w:vAlign w:val="center"/>
          </w:tcPr>
          <w:p>
            <w:pPr>
              <w:jc w:val="center"/>
              <w:rPr>
                <w:rFonts w:ascii="Times New Roman" w:hAnsi="Times New Roman" w:eastAsia="宋体"/>
                <w:sz w:val="21"/>
                <w:szCs w:val="21"/>
              </w:rPr>
            </w:pPr>
          </w:p>
        </w:tc>
      </w:tr>
    </w:tbl>
    <w:p>
      <w:pPr>
        <w:wordWrap w:val="0"/>
        <w:spacing w:line="240" w:lineRule="atLeast"/>
        <w:jc w:val="right"/>
        <w:rPr>
          <w:rFonts w:ascii="Times New Roman" w:hAnsi="Times New Roman" w:eastAsia="宋体"/>
          <w:sz w:val="21"/>
          <w:szCs w:val="21"/>
        </w:rPr>
      </w:pPr>
    </w:p>
    <w:p>
      <w:pPr>
        <w:spacing w:line="240" w:lineRule="atLeast"/>
        <w:jc w:val="center"/>
        <w:rPr>
          <w:rFonts w:hint="eastAsia" w:ascii="Times New Roman" w:hAnsi="Times New Roman" w:eastAsia="宋体"/>
          <w:sz w:val="21"/>
          <w:szCs w:val="21"/>
          <w:u w:val="single"/>
        </w:rPr>
      </w:pPr>
      <w:r>
        <w:rPr>
          <w:rFonts w:hint="eastAsia" w:ascii="Times New Roman" w:hAnsi="Times New Roman" w:eastAsia="宋体"/>
          <w:sz w:val="21"/>
          <w:szCs w:val="21"/>
        </w:rPr>
        <w:t xml:space="preserve">                                        委员/专家：</w:t>
      </w:r>
      <w:r>
        <w:rPr>
          <w:rFonts w:hint="eastAsia" w:ascii="Times New Roman" w:hAnsi="Times New Roman" w:eastAsia="宋体"/>
          <w:sz w:val="21"/>
          <w:szCs w:val="21"/>
          <w:u w:val="single"/>
        </w:rPr>
        <w:t xml:space="preserve">                </w:t>
      </w:r>
    </w:p>
    <w:p>
      <w:pPr>
        <w:spacing w:line="240" w:lineRule="atLeast"/>
        <w:jc w:val="center"/>
        <w:rPr>
          <w:rFonts w:ascii="Times New Roman" w:hAnsi="Times New Roman" w:eastAsia="宋体"/>
          <w:sz w:val="21"/>
          <w:szCs w:val="21"/>
          <w:u w:val="single"/>
        </w:rPr>
      </w:pPr>
    </w:p>
    <w:p>
      <w:pPr>
        <w:wordWrap w:val="0"/>
        <w:spacing w:line="240" w:lineRule="atLeast"/>
        <w:jc w:val="right"/>
      </w:pPr>
      <w:r>
        <w:rPr>
          <w:rFonts w:hint="eastAsia" w:ascii="Times New Roman" w:hAnsi="Times New Roman" w:eastAsia="宋体"/>
          <w:sz w:val="21"/>
          <w:szCs w:val="21"/>
        </w:rPr>
        <w:t>年    月    日</w:t>
      </w:r>
    </w:p>
    <w:p>
      <w:pPr>
        <w:pStyle w:val="21"/>
        <w:ind w:firstLine="420"/>
        <w:rPr>
          <w:rFonts w:hint="eastAsia"/>
          <w:lang w:val="en-US" w:eastAsia="zh-CN"/>
        </w:rPr>
      </w:pPr>
    </w:p>
    <w:sectPr>
      <w:footerReference r:id="rId17" w:type="default"/>
      <w:pgSz w:w="11906" w:h="16838"/>
      <w:pgMar w:top="1701" w:right="1418" w:bottom="1418" w:left="1418" w:header="1418" w:footer="1134" w:gutter="284"/>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D30518-9BE0-481E-811E-0178CC9CD7F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D54391D3-BC14-439A-B21C-67D81479EA73}"/>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embedRegular r:id="rId3" w:fontKey="{AE6DAC2B-59F5-4061-828A-4D638226B122}"/>
  </w:font>
  <w:font w:name="方正仿宋_GBK">
    <w:altName w:val="微软雅黑"/>
    <w:panose1 w:val="02000000000000000000"/>
    <w:charset w:val="86"/>
    <w:family w:val="auto"/>
    <w:pitch w:val="default"/>
    <w:sig w:usb0="00000000" w:usb1="00000000" w:usb2="00000000" w:usb3="00000000" w:csb0="00040000" w:csb1="00000000"/>
    <w:embedRegular r:id="rId4" w:fontKey="{8394AC40-D20B-4122-91AF-6A0FD4930E74}"/>
  </w:font>
  <w:font w:name="仿宋_GB2312">
    <w:altName w:val="仿宋"/>
    <w:panose1 w:val="02010609030101010101"/>
    <w:charset w:val="86"/>
    <w:family w:val="modern"/>
    <w:pitch w:val="default"/>
    <w:sig w:usb0="00000000" w:usb1="00000000" w:usb2="00000000" w:usb3="00000000" w:csb0="00040000" w:csb1="00000000"/>
    <w:embedRegular r:id="rId5" w:fontKey="{4AD2B072-2050-4BE8-B82F-5D314E4C048B}"/>
  </w:font>
  <w:font w:name="方正小标宋简体">
    <w:altName w:val="黑体"/>
    <w:panose1 w:val="02000000000000000000"/>
    <w:charset w:val="86"/>
    <w:family w:val="auto"/>
    <w:pitch w:val="default"/>
    <w:sig w:usb0="00000000" w:usb1="00000000" w:usb2="00000012" w:usb3="00000000" w:csb0="00040001" w:csb1="00000000"/>
    <w:embedRegular r:id="rId6" w:fontKey="{60D44A19-D217-41BD-BD80-8C21CFAB0CD0}"/>
  </w:font>
  <w:font w:name="楷体_GB2312">
    <w:altName w:val="楷体"/>
    <w:panose1 w:val="02010609030101010101"/>
    <w:charset w:val="86"/>
    <w:family w:val="modern"/>
    <w:pitch w:val="default"/>
    <w:sig w:usb0="00000000" w:usb1="00000000" w:usb2="00000000" w:usb3="00000000" w:csb0="00040000" w:csb1="00000000"/>
    <w:embedRegular r:id="rId7" w:fontKey="{82E08891-F414-45B2-AD6E-E54D989E2F9D}"/>
  </w:font>
  <w:font w:name="楷体">
    <w:panose1 w:val="02010609060101010101"/>
    <w:charset w:val="86"/>
    <w:family w:val="auto"/>
    <w:pitch w:val="default"/>
    <w:sig w:usb0="800002BF" w:usb1="38CF7CFA" w:usb2="00000016" w:usb3="00000000" w:csb0="00040001" w:csb1="00000000"/>
    <w:embedRegular r:id="rId8" w:fontKey="{F05C18E9-1256-4766-A1A3-3065F041F28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cs="Times New Roman" w:asciiTheme="minorEastAsia" w:hAnsiTheme="minorEastAsia" w:eastAsiaTheme="minorEastAsia"/>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648335" cy="416560"/>
              <wp:effectExtent l="0" t="0" r="0" b="0"/>
              <wp:wrapNone/>
              <wp:docPr id="12" name="文本框 7"/>
              <wp:cNvGraphicFramePr/>
              <a:graphic xmlns:a="http://schemas.openxmlformats.org/drawingml/2006/main">
                <a:graphicData uri="http://schemas.microsoft.com/office/word/2010/wordprocessingShape">
                  <wps:wsp>
                    <wps:cNvSpPr txBox="1"/>
                    <wps:spPr>
                      <a:xfrm>
                        <a:off x="0" y="0"/>
                        <a:ext cx="648335" cy="416560"/>
                      </a:xfrm>
                      <a:prstGeom prst="rect">
                        <a:avLst/>
                      </a:prstGeom>
                      <a:noFill/>
                      <a:ln>
                        <a:noFill/>
                      </a:ln>
                    </wps:spPr>
                    <wps:txbx>
                      <w:txbxContent>
                        <w:sdt>
                          <w:sdtPr>
                            <w:rPr>
                              <w:rFonts w:ascii="等线" w:hAnsi="等线" w:eastAsia="等线" w:cs="Times New Roman"/>
                              <w:kern w:val="2"/>
                              <w:sz w:val="21"/>
                              <w:szCs w:val="24"/>
                              <w:lang w:val="en-US" w:eastAsia="zh-CN" w:bidi="ar-SA"/>
                            </w:rPr>
                            <w:id w:val="13087599"/>
                          </w:sdtPr>
                          <w:sdtEndPr>
                            <w:rPr>
                              <w:rFonts w:cs="Times New Roman" w:asciiTheme="minorEastAsia" w:hAnsiTheme="minorEastAsia" w:eastAsiaTheme="minorEastAsia"/>
                              <w:kern w:val="2"/>
                              <w:sz w:val="18"/>
                              <w:szCs w:val="18"/>
                              <w:lang w:val="en-US" w:eastAsia="zh-CN" w:bidi="ar-SA"/>
                            </w:rPr>
                          </w:sdtEndPr>
                          <w:sdtContent>
                            <w:p>
                              <w:pPr>
                                <w:widowControl w:val="0"/>
                                <w:snapToGrid w:val="0"/>
                                <w:jc w:val="center"/>
                                <w:rPr>
                                  <w:rFonts w:cs="Times New Roman" w:asciiTheme="minorEastAsia" w:hAnsiTheme="minorEastAsia" w:eastAsiaTheme="minorEastAsia"/>
                                  <w:kern w:val="2"/>
                                  <w:sz w:val="18"/>
                                  <w:szCs w:val="18"/>
                                  <w:lang w:val="en-US" w:eastAsia="zh-CN" w:bidi="ar-SA"/>
                                </w:rPr>
                              </w:pPr>
                              <w:r>
                                <w:rPr>
                                  <w:rFonts w:cs="Times New Roman" w:asciiTheme="minorEastAsia" w:hAnsiTheme="minorEastAsia" w:eastAsiaTheme="minorEastAsia"/>
                                  <w:kern w:val="2"/>
                                  <w:sz w:val="18"/>
                                  <w:szCs w:val="18"/>
                                  <w:lang w:val="en-US" w:eastAsia="zh-CN" w:bidi="ar-SA"/>
                                </w:rPr>
                                <w:fldChar w:fldCharType="begin"/>
                              </w:r>
                              <w:r>
                                <w:rPr>
                                  <w:rFonts w:cs="Times New Roman" w:asciiTheme="minorEastAsia" w:hAnsiTheme="minorEastAsia" w:eastAsiaTheme="minorEastAsia"/>
                                  <w:kern w:val="2"/>
                                  <w:sz w:val="18"/>
                                  <w:szCs w:val="18"/>
                                  <w:lang w:val="en-US" w:eastAsia="zh-CN" w:bidi="ar-SA"/>
                                </w:rPr>
                                <w:instrText xml:space="preserve"> PAGE   \* MERGEFORMAT </w:instrText>
                              </w:r>
                              <w:r>
                                <w:rPr>
                                  <w:rFonts w:cs="Times New Roman" w:asciiTheme="minorEastAsia" w:hAnsiTheme="minorEastAsia" w:eastAsiaTheme="minorEastAsia"/>
                                  <w:kern w:val="2"/>
                                  <w:sz w:val="18"/>
                                  <w:szCs w:val="18"/>
                                  <w:lang w:val="en-US" w:eastAsia="zh-CN" w:bidi="ar-SA"/>
                                </w:rPr>
                                <w:fldChar w:fldCharType="separate"/>
                              </w:r>
                              <w:r>
                                <w:rPr>
                                  <w:rFonts w:cs="Times New Roman" w:asciiTheme="minorEastAsia" w:hAnsiTheme="minorEastAsia" w:eastAsiaTheme="minorEastAsia"/>
                                  <w:kern w:val="2"/>
                                  <w:sz w:val="18"/>
                                  <w:szCs w:val="18"/>
                                  <w:lang w:val="zh-CN" w:eastAsia="zh-CN" w:bidi="ar-SA"/>
                                </w:rPr>
                                <w:t>I</w:t>
                              </w:r>
                              <w:r>
                                <w:rPr>
                                  <w:rFonts w:cs="Times New Roman" w:asciiTheme="minorEastAsia" w:hAnsiTheme="minorEastAsia" w:eastAsiaTheme="minorEastAsia"/>
                                  <w:kern w:val="2"/>
                                  <w:sz w:val="18"/>
                                  <w:szCs w:val="18"/>
                                  <w:lang w:val="en-US" w:eastAsia="zh-CN" w:bidi="ar-SA"/>
                                </w:rPr>
                                <w:fldChar w:fldCharType="end"/>
                              </w:r>
                            </w:p>
                          </w:sdtContent>
                        </w:sdt>
                        <w:p>
                          <w:pPr>
                            <w:widowControl w:val="0"/>
                            <w:spacing w:after="120"/>
                            <w:ind w:left="420" w:leftChars="200" w:firstLine="420" w:firstLineChars="200"/>
                            <w:jc w:val="both"/>
                            <w:rPr>
                              <w:rFonts w:ascii="等线" w:hAnsi="等线" w:eastAsia="等线" w:cs="Times New Roman"/>
                              <w:kern w:val="2"/>
                              <w:sz w:val="21"/>
                              <w:szCs w:val="24"/>
                              <w:lang w:val="en-US" w:eastAsia="zh-CN" w:bidi="ar-SA"/>
                            </w:rPr>
                          </w:pP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32.8pt;width:51.05pt;mso-position-horizontal:center;mso-position-horizontal-relative:margin;mso-wrap-style:none;z-index:251670528;mso-width-relative:page;mso-height-relative:page;" filled="f" stroked="f" coordsize="21600,21600" o:gfxdata="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jPKE3RAAAABAEAAA8AAAAAAAAAAQAgAAAAIgAAAGRycy9k&#10;b3ducmV2LnhtbFBLAQIUABQAAAAIAIdO4kDNseSF0AEAAJgDAAAOAAAAAAAAAAEAIAAAACABAABk&#10;cnMvZTJvRG9jLnhtbFBLBQYAAAAABgAGAFkBAABiBQAAAAA=&#10;">
              <v:fill on="f" focussize="0,0"/>
              <v:stroke on="f"/>
              <v:imagedata o:title=""/>
              <o:lock v:ext="edit" aspectratio="f"/>
              <v:textbox inset="0mm,0mm,0mm,0mm" style="mso-fit-shape-to-text:t;">
                <w:txbxContent>
                  <w:sdt>
                    <w:sdtPr>
                      <w:rPr>
                        <w:rFonts w:ascii="等线" w:hAnsi="等线" w:eastAsia="等线" w:cs="Times New Roman"/>
                        <w:kern w:val="2"/>
                        <w:sz w:val="21"/>
                        <w:szCs w:val="24"/>
                        <w:lang w:val="en-US" w:eastAsia="zh-CN" w:bidi="ar-SA"/>
                      </w:rPr>
                      <w:id w:val="13087599"/>
                    </w:sdtPr>
                    <w:sdtEndPr>
                      <w:rPr>
                        <w:rFonts w:cs="Times New Roman" w:asciiTheme="minorEastAsia" w:hAnsiTheme="minorEastAsia" w:eastAsiaTheme="minorEastAsia"/>
                        <w:kern w:val="2"/>
                        <w:sz w:val="18"/>
                        <w:szCs w:val="18"/>
                        <w:lang w:val="en-US" w:eastAsia="zh-CN" w:bidi="ar-SA"/>
                      </w:rPr>
                    </w:sdtEndPr>
                    <w:sdtContent>
                      <w:p>
                        <w:pPr>
                          <w:widowControl w:val="0"/>
                          <w:snapToGrid w:val="0"/>
                          <w:jc w:val="center"/>
                          <w:rPr>
                            <w:rFonts w:cs="Times New Roman" w:asciiTheme="minorEastAsia" w:hAnsiTheme="minorEastAsia" w:eastAsiaTheme="minorEastAsia"/>
                            <w:kern w:val="2"/>
                            <w:sz w:val="18"/>
                            <w:szCs w:val="18"/>
                            <w:lang w:val="en-US" w:eastAsia="zh-CN" w:bidi="ar-SA"/>
                          </w:rPr>
                        </w:pPr>
                        <w:r>
                          <w:rPr>
                            <w:rFonts w:cs="Times New Roman" w:asciiTheme="minorEastAsia" w:hAnsiTheme="minorEastAsia" w:eastAsiaTheme="minorEastAsia"/>
                            <w:kern w:val="2"/>
                            <w:sz w:val="18"/>
                            <w:szCs w:val="18"/>
                            <w:lang w:val="en-US" w:eastAsia="zh-CN" w:bidi="ar-SA"/>
                          </w:rPr>
                          <w:fldChar w:fldCharType="begin"/>
                        </w:r>
                        <w:r>
                          <w:rPr>
                            <w:rFonts w:cs="Times New Roman" w:asciiTheme="minorEastAsia" w:hAnsiTheme="minorEastAsia" w:eastAsiaTheme="minorEastAsia"/>
                            <w:kern w:val="2"/>
                            <w:sz w:val="18"/>
                            <w:szCs w:val="18"/>
                            <w:lang w:val="en-US" w:eastAsia="zh-CN" w:bidi="ar-SA"/>
                          </w:rPr>
                          <w:instrText xml:space="preserve"> PAGE   \* MERGEFORMAT </w:instrText>
                        </w:r>
                        <w:r>
                          <w:rPr>
                            <w:rFonts w:cs="Times New Roman" w:asciiTheme="minorEastAsia" w:hAnsiTheme="minorEastAsia" w:eastAsiaTheme="minorEastAsia"/>
                            <w:kern w:val="2"/>
                            <w:sz w:val="18"/>
                            <w:szCs w:val="18"/>
                            <w:lang w:val="en-US" w:eastAsia="zh-CN" w:bidi="ar-SA"/>
                          </w:rPr>
                          <w:fldChar w:fldCharType="separate"/>
                        </w:r>
                        <w:r>
                          <w:rPr>
                            <w:rFonts w:cs="Times New Roman" w:asciiTheme="minorEastAsia" w:hAnsiTheme="minorEastAsia" w:eastAsiaTheme="minorEastAsia"/>
                            <w:kern w:val="2"/>
                            <w:sz w:val="18"/>
                            <w:szCs w:val="18"/>
                            <w:lang w:val="zh-CN" w:eastAsia="zh-CN" w:bidi="ar-SA"/>
                          </w:rPr>
                          <w:t>I</w:t>
                        </w:r>
                        <w:r>
                          <w:rPr>
                            <w:rFonts w:cs="Times New Roman" w:asciiTheme="minorEastAsia" w:hAnsiTheme="minorEastAsia" w:eastAsiaTheme="minorEastAsia"/>
                            <w:kern w:val="2"/>
                            <w:sz w:val="18"/>
                            <w:szCs w:val="18"/>
                            <w:lang w:val="en-US" w:eastAsia="zh-CN" w:bidi="ar-SA"/>
                          </w:rPr>
                          <w:fldChar w:fldCharType="end"/>
                        </w:r>
                      </w:p>
                    </w:sdtContent>
                  </w:sdt>
                  <w:p>
                    <w:pPr>
                      <w:widowControl w:val="0"/>
                      <w:spacing w:after="120"/>
                      <w:ind w:left="420" w:leftChars="200" w:firstLine="420" w:firstLineChars="200"/>
                      <w:jc w:val="both"/>
                      <w:rPr>
                        <w:rFonts w:ascii="等线" w:hAnsi="等线" w:eastAsia="等线" w:cs="Times New Roman"/>
                        <w:kern w:val="2"/>
                        <w:sz w:val="21"/>
                        <w:szCs w:val="24"/>
                        <w:lang w:val="en-US" w:eastAsia="zh-CN" w:bidi="ar-SA"/>
                      </w:rPr>
                    </w:pPr>
                  </w:p>
                </w:txbxContent>
              </v:textbox>
            </v:shape>
          </w:pict>
        </mc:Fallback>
      </mc:AlternateContent>
    </w:r>
  </w:p>
  <w:p>
    <w:pPr>
      <w:ind w:right="227"/>
      <w:jc w:val="right"/>
      <w:rPr>
        <w:rFonts w:ascii="宋体" w:hAnsi="Times New Roman" w:eastAsia="宋体" w:cs="Times New Roman"/>
        <w:sz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both"/>
      <w:rPr>
        <w:rFonts w:cs="Times New Roman" w:asciiTheme="minorEastAsia" w:hAnsiTheme="minorEastAsia" w:eastAsiaTheme="minorEastAsia"/>
        <w:kern w:val="2"/>
        <w:sz w:val="18"/>
        <w:szCs w:val="18"/>
        <w:lang w:val="en-US" w:eastAsia="zh-CN" w:bidi="ar-SA"/>
      </w:rPr>
    </w:pPr>
    <w:r>
      <w:rPr>
        <w:rFonts w:ascii="等线" w:hAnsi="等线" w:eastAsia="等线" w:cs="Times New Roman"/>
        <w:kern w:val="2"/>
        <w:sz w:val="18"/>
        <w:szCs w:val="18"/>
        <w:lang w:val="en-US" w:eastAsia="zh-CN" w:bidi="ar-SA"/>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648335" cy="416560"/>
              <wp:effectExtent l="0" t="0" r="0" b="0"/>
              <wp:wrapNone/>
              <wp:docPr id="14" name="文本框 8"/>
              <wp:cNvGraphicFramePr/>
              <a:graphic xmlns:a="http://schemas.openxmlformats.org/drawingml/2006/main">
                <a:graphicData uri="http://schemas.microsoft.com/office/word/2010/wordprocessingShape">
                  <wps:wsp>
                    <wps:cNvSpPr txBox="1"/>
                    <wps:spPr>
                      <a:xfrm>
                        <a:off x="0" y="0"/>
                        <a:ext cx="648335" cy="416560"/>
                      </a:xfrm>
                      <a:prstGeom prst="rect">
                        <a:avLst/>
                      </a:prstGeom>
                      <a:noFill/>
                      <a:ln>
                        <a:noFill/>
                      </a:ln>
                    </wps:spPr>
                    <wps:txbx>
                      <w:txbxContent>
                        <w:sdt>
                          <w:sdtPr>
                            <w:rPr>
                              <w:rFonts w:ascii="等线" w:hAnsi="等线" w:eastAsia="等线" w:cs="Times New Roman"/>
                              <w:kern w:val="2"/>
                              <w:sz w:val="21"/>
                              <w:szCs w:val="24"/>
                              <w:lang w:val="en-US" w:eastAsia="zh-CN" w:bidi="ar-SA"/>
                            </w:rPr>
                            <w:id w:val="-630091616"/>
                          </w:sdtPr>
                          <w:sdtEndPr>
                            <w:rPr>
                              <w:rFonts w:cs="Times New Roman" w:asciiTheme="minorEastAsia" w:hAnsiTheme="minorEastAsia" w:eastAsiaTheme="minorEastAsia"/>
                              <w:kern w:val="2"/>
                              <w:sz w:val="18"/>
                              <w:szCs w:val="18"/>
                              <w:lang w:val="en-US" w:eastAsia="zh-CN" w:bidi="ar-SA"/>
                            </w:rPr>
                          </w:sdtEndPr>
                          <w:sdtContent>
                            <w:p>
                              <w:pPr>
                                <w:widowControl w:val="0"/>
                                <w:snapToGrid w:val="0"/>
                                <w:jc w:val="center"/>
                                <w:rPr>
                                  <w:rFonts w:cs="Times New Roman" w:asciiTheme="minorEastAsia" w:hAnsiTheme="minorEastAsia" w:eastAsiaTheme="minorEastAsia"/>
                                  <w:kern w:val="2"/>
                                  <w:sz w:val="18"/>
                                  <w:szCs w:val="18"/>
                                  <w:lang w:val="en-US" w:eastAsia="zh-CN" w:bidi="ar-SA"/>
                                </w:rPr>
                              </w:pPr>
                              <w:r>
                                <w:rPr>
                                  <w:rFonts w:cs="Times New Roman" w:asciiTheme="minorEastAsia" w:hAnsiTheme="minorEastAsia" w:eastAsiaTheme="minorEastAsia"/>
                                  <w:kern w:val="2"/>
                                  <w:sz w:val="18"/>
                                  <w:szCs w:val="18"/>
                                  <w:lang w:val="en-US" w:eastAsia="zh-CN" w:bidi="ar-SA"/>
                                </w:rPr>
                                <w:fldChar w:fldCharType="begin"/>
                              </w:r>
                              <w:r>
                                <w:rPr>
                                  <w:rFonts w:cs="Times New Roman" w:asciiTheme="minorEastAsia" w:hAnsiTheme="minorEastAsia" w:eastAsiaTheme="minorEastAsia"/>
                                  <w:kern w:val="2"/>
                                  <w:sz w:val="18"/>
                                  <w:szCs w:val="18"/>
                                  <w:lang w:val="en-US" w:eastAsia="zh-CN" w:bidi="ar-SA"/>
                                </w:rPr>
                                <w:instrText xml:space="preserve"> PAGE   \* MERGEFORMAT </w:instrText>
                              </w:r>
                              <w:r>
                                <w:rPr>
                                  <w:rFonts w:cs="Times New Roman" w:asciiTheme="minorEastAsia" w:hAnsiTheme="minorEastAsia" w:eastAsiaTheme="minorEastAsia"/>
                                  <w:kern w:val="2"/>
                                  <w:sz w:val="18"/>
                                  <w:szCs w:val="18"/>
                                  <w:lang w:val="en-US" w:eastAsia="zh-CN" w:bidi="ar-SA"/>
                                </w:rPr>
                                <w:fldChar w:fldCharType="separate"/>
                              </w:r>
                              <w:r>
                                <w:rPr>
                                  <w:rFonts w:cs="Times New Roman" w:asciiTheme="minorEastAsia" w:hAnsiTheme="minorEastAsia" w:eastAsiaTheme="minorEastAsia"/>
                                  <w:kern w:val="2"/>
                                  <w:sz w:val="18"/>
                                  <w:szCs w:val="18"/>
                                  <w:lang w:val="zh-CN" w:eastAsia="zh-CN" w:bidi="ar-SA"/>
                                </w:rPr>
                                <w:t>II</w:t>
                              </w:r>
                              <w:r>
                                <w:rPr>
                                  <w:rFonts w:cs="Times New Roman" w:asciiTheme="minorEastAsia" w:hAnsiTheme="minorEastAsia" w:eastAsiaTheme="minorEastAsia"/>
                                  <w:kern w:val="2"/>
                                  <w:sz w:val="18"/>
                                  <w:szCs w:val="18"/>
                                  <w:lang w:val="en-US" w:eastAsia="zh-CN" w:bidi="ar-SA"/>
                                </w:rPr>
                                <w:fldChar w:fldCharType="end"/>
                              </w:r>
                            </w:p>
                          </w:sdtContent>
                        </w:sdt>
                        <w:p>
                          <w:pPr>
                            <w:widowControl w:val="0"/>
                            <w:spacing w:after="120"/>
                            <w:ind w:left="420" w:leftChars="200" w:firstLine="420" w:firstLineChars="200"/>
                            <w:jc w:val="both"/>
                            <w:rPr>
                              <w:rFonts w:ascii="等线" w:hAnsi="等线" w:eastAsia="等线" w:cs="Times New Roman"/>
                              <w:kern w:val="2"/>
                              <w:sz w:val="21"/>
                              <w:szCs w:val="24"/>
                              <w:lang w:val="en-US" w:eastAsia="zh-CN" w:bidi="ar-SA"/>
                            </w:rPr>
                          </w:pPr>
                        </w:p>
                      </w:txbxContent>
                    </wps:txbx>
                    <wps:bodyPr wrap="none" lIns="0" tIns="0" rIns="0" bIns="0" upright="1">
                      <a:spAutoFit/>
                    </wps:bodyPr>
                  </wps:wsp>
                </a:graphicData>
              </a:graphic>
            </wp:anchor>
          </w:drawing>
        </mc:Choice>
        <mc:Fallback>
          <w:pict>
            <v:shape id="文本框 8" o:spid="_x0000_s1026" o:spt="202" type="#_x0000_t202" style="position:absolute;left:0pt;margin-top:0pt;height:32.8pt;width:51.05pt;mso-position-horizontal:center;mso-position-horizontal-relative:margin;mso-wrap-style:none;z-index:251671552;mso-width-relative:page;mso-height-relative:page;" filled="f" stroked="f" coordsize="21600,21600" o:gfxdata="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jPKE3RAAAABAEAAA8AAAAAAAAAAQAgAAAAIgAAAGRycy9k&#10;b3ducmV2LnhtbFBLAQIUABQAAAAIAIdO4kBX7jiQ0AEAAJgDAAAOAAAAAAAAAAEAIAAAACABAABk&#10;cnMvZTJvRG9jLnhtbFBLBQYAAAAABgAGAFkBAABiBQAAAAA=&#10;">
              <v:fill on="f" focussize="0,0"/>
              <v:stroke on="f"/>
              <v:imagedata o:title=""/>
              <o:lock v:ext="edit" aspectratio="f"/>
              <v:textbox inset="0mm,0mm,0mm,0mm" style="mso-fit-shape-to-text:t;">
                <w:txbxContent>
                  <w:sdt>
                    <w:sdtPr>
                      <w:rPr>
                        <w:rFonts w:ascii="等线" w:hAnsi="等线" w:eastAsia="等线" w:cs="Times New Roman"/>
                        <w:kern w:val="2"/>
                        <w:sz w:val="21"/>
                        <w:szCs w:val="24"/>
                        <w:lang w:val="en-US" w:eastAsia="zh-CN" w:bidi="ar-SA"/>
                      </w:rPr>
                      <w:id w:val="-630091616"/>
                    </w:sdtPr>
                    <w:sdtEndPr>
                      <w:rPr>
                        <w:rFonts w:cs="Times New Roman" w:asciiTheme="minorEastAsia" w:hAnsiTheme="minorEastAsia" w:eastAsiaTheme="minorEastAsia"/>
                        <w:kern w:val="2"/>
                        <w:sz w:val="18"/>
                        <w:szCs w:val="18"/>
                        <w:lang w:val="en-US" w:eastAsia="zh-CN" w:bidi="ar-SA"/>
                      </w:rPr>
                    </w:sdtEndPr>
                    <w:sdtContent>
                      <w:p>
                        <w:pPr>
                          <w:widowControl w:val="0"/>
                          <w:snapToGrid w:val="0"/>
                          <w:jc w:val="center"/>
                          <w:rPr>
                            <w:rFonts w:cs="Times New Roman" w:asciiTheme="minorEastAsia" w:hAnsiTheme="minorEastAsia" w:eastAsiaTheme="minorEastAsia"/>
                            <w:kern w:val="2"/>
                            <w:sz w:val="18"/>
                            <w:szCs w:val="18"/>
                            <w:lang w:val="en-US" w:eastAsia="zh-CN" w:bidi="ar-SA"/>
                          </w:rPr>
                        </w:pPr>
                        <w:r>
                          <w:rPr>
                            <w:rFonts w:cs="Times New Roman" w:asciiTheme="minorEastAsia" w:hAnsiTheme="minorEastAsia" w:eastAsiaTheme="minorEastAsia"/>
                            <w:kern w:val="2"/>
                            <w:sz w:val="18"/>
                            <w:szCs w:val="18"/>
                            <w:lang w:val="en-US" w:eastAsia="zh-CN" w:bidi="ar-SA"/>
                          </w:rPr>
                          <w:fldChar w:fldCharType="begin"/>
                        </w:r>
                        <w:r>
                          <w:rPr>
                            <w:rFonts w:cs="Times New Roman" w:asciiTheme="minorEastAsia" w:hAnsiTheme="minorEastAsia" w:eastAsiaTheme="minorEastAsia"/>
                            <w:kern w:val="2"/>
                            <w:sz w:val="18"/>
                            <w:szCs w:val="18"/>
                            <w:lang w:val="en-US" w:eastAsia="zh-CN" w:bidi="ar-SA"/>
                          </w:rPr>
                          <w:instrText xml:space="preserve"> PAGE   \* MERGEFORMAT </w:instrText>
                        </w:r>
                        <w:r>
                          <w:rPr>
                            <w:rFonts w:cs="Times New Roman" w:asciiTheme="minorEastAsia" w:hAnsiTheme="minorEastAsia" w:eastAsiaTheme="minorEastAsia"/>
                            <w:kern w:val="2"/>
                            <w:sz w:val="18"/>
                            <w:szCs w:val="18"/>
                            <w:lang w:val="en-US" w:eastAsia="zh-CN" w:bidi="ar-SA"/>
                          </w:rPr>
                          <w:fldChar w:fldCharType="separate"/>
                        </w:r>
                        <w:r>
                          <w:rPr>
                            <w:rFonts w:cs="Times New Roman" w:asciiTheme="minorEastAsia" w:hAnsiTheme="minorEastAsia" w:eastAsiaTheme="minorEastAsia"/>
                            <w:kern w:val="2"/>
                            <w:sz w:val="18"/>
                            <w:szCs w:val="18"/>
                            <w:lang w:val="zh-CN" w:eastAsia="zh-CN" w:bidi="ar-SA"/>
                          </w:rPr>
                          <w:t>II</w:t>
                        </w:r>
                        <w:r>
                          <w:rPr>
                            <w:rFonts w:cs="Times New Roman" w:asciiTheme="minorEastAsia" w:hAnsiTheme="minorEastAsia" w:eastAsiaTheme="minorEastAsia"/>
                            <w:kern w:val="2"/>
                            <w:sz w:val="18"/>
                            <w:szCs w:val="18"/>
                            <w:lang w:val="en-US" w:eastAsia="zh-CN" w:bidi="ar-SA"/>
                          </w:rPr>
                          <w:fldChar w:fldCharType="end"/>
                        </w:r>
                      </w:p>
                    </w:sdtContent>
                  </w:sdt>
                  <w:p>
                    <w:pPr>
                      <w:widowControl w:val="0"/>
                      <w:spacing w:after="120"/>
                      <w:ind w:left="420" w:leftChars="200" w:firstLine="420" w:firstLineChars="200"/>
                      <w:jc w:val="both"/>
                      <w:rPr>
                        <w:rFonts w:ascii="等线" w:hAnsi="等线" w:eastAsia="等线" w:cs="Times New Roman"/>
                        <w:kern w:val="2"/>
                        <w:sz w:val="21"/>
                        <w:szCs w:val="24"/>
                        <w:lang w:val="en-US" w:eastAsia="zh-CN" w:bidi="ar-SA"/>
                      </w:rPr>
                    </w:pPr>
                  </w:p>
                </w:txbxContent>
              </v:textbox>
            </v:shape>
          </w:pict>
        </mc:Fallback>
      </mc:AlternateContent>
    </w:r>
  </w:p>
  <w:p>
    <w:pPr>
      <w:ind w:right="227"/>
      <w:jc w:val="right"/>
      <w:rPr>
        <w:rFonts w:ascii="宋体" w:hAnsi="Times New Roman" w:eastAsia="宋体" w:cs="Times New Roman"/>
        <w:sz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none" w:color="auto" w:sz="0" w:space="1"/>
        <w:left w:val="none" w:color="auto" w:sz="0" w:space="4"/>
        <w:bottom w:val="none" w:color="auto" w:sz="0" w:space="1"/>
        <w:right w:val="none" w:color="auto" w:sz="0" w:space="4"/>
      </w:pBdr>
      <w:jc w:val="both"/>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648335" cy="41656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648335" cy="416560"/>
                      </a:xfrm>
                      <a:prstGeom prst="rect">
                        <a:avLst/>
                      </a:prstGeom>
                      <a:noFill/>
                      <a:ln>
                        <a:noFill/>
                      </a:ln>
                    </wps:spPr>
                    <wps:txbx>
                      <w:txbxContent>
                        <w:sdt>
                          <w:sdtPr>
                            <w:rPr>
                              <w:rFonts w:hint="eastAsia" w:asciiTheme="minorEastAsia" w:hAnsiTheme="minorEastAsia" w:eastAsiaTheme="minorEastAsia" w:cstheme="minorEastAsia"/>
                              <w:sz w:val="18"/>
                              <w:szCs w:val="18"/>
                            </w:rPr>
                            <w:id w:val="-1581451183"/>
                          </w:sdtPr>
                          <w:sdtEndPr>
                            <w:rPr>
                              <w:rFonts w:hint="eastAsia" w:asciiTheme="minorEastAsia" w:hAnsiTheme="minorEastAsia" w:eastAsiaTheme="minorEastAsia" w:cstheme="minorEastAsia"/>
                              <w:sz w:val="24"/>
                              <w:szCs w:val="24"/>
                            </w:rPr>
                          </w:sdtEndPr>
                          <w:sdtContent>
                            <w:p>
                              <w:pPr>
                                <w:pStyle w:val="8"/>
                                <w:jc w:val="center"/>
                                <w:rPr>
                                  <w:rFonts w:asciiTheme="minorEastAsia" w:hAnsiTheme="minorEastAsia" w:eastAsiaTheme="minorEastAsia"/>
                                  <w:sz w:val="24"/>
                                  <w:szCs w:val="24"/>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lang w:val="zh-CN"/>
                                </w:rPr>
                                <w:t>12</w:t>
                              </w:r>
                              <w:r>
                                <w:rPr>
                                  <w:rFonts w:hint="eastAsia" w:asciiTheme="minorEastAsia" w:hAnsiTheme="minorEastAsia" w:eastAsiaTheme="minorEastAsia" w:cstheme="minorEastAsia"/>
                                  <w:sz w:val="18"/>
                                  <w:szCs w:val="18"/>
                                </w:rPr>
                                <w:fldChar w:fldCharType="end"/>
                              </w:r>
                            </w:p>
                          </w:sdtContent>
                        </w:sdt>
                        <w:p>
                          <w:pPr>
                            <w:pStyle w:val="13"/>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32.8pt;width:51.05pt;mso-position-horizontal:center;mso-position-horizontal-relative:margin;mso-wrap-style:none;z-index:251670528;mso-width-relative:page;mso-height-relative:page;" filled="f" stroked="f" coordsize="21600,21600" o:gfxdata="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CM8oTdEAAAAEAQAADwAAAAAAAAABACAAAAAiAAAAZHJzL2Rv&#10;d25yZXYueG1sUEsBAhQAFAAAAAgAh07iQBjYxSzPAQAAmQMAAA4AAAAAAAAAAQAgAAAAIAEAAGRy&#10;cy9lMm9Eb2MueG1sUEsFBgAAAAAGAAYAWQEAAGEFAAAAAA==&#10;">
              <v:fill on="f" focussize="0,0"/>
              <v:stroke on="f"/>
              <v:imagedata o:title=""/>
              <o:lock v:ext="edit" aspectratio="f"/>
              <v:textbox inset="0mm,0mm,0mm,0mm" style="mso-fit-shape-to-text:t;">
                <w:txbxContent>
                  <w:sdt>
                    <w:sdtPr>
                      <w:rPr>
                        <w:rFonts w:hint="eastAsia" w:asciiTheme="minorEastAsia" w:hAnsiTheme="minorEastAsia" w:eastAsiaTheme="minorEastAsia" w:cstheme="minorEastAsia"/>
                        <w:sz w:val="18"/>
                        <w:szCs w:val="18"/>
                      </w:rPr>
                      <w:id w:val="-1581451183"/>
                    </w:sdtPr>
                    <w:sdtEndPr>
                      <w:rPr>
                        <w:rFonts w:hint="eastAsia" w:asciiTheme="minorEastAsia" w:hAnsiTheme="minorEastAsia" w:eastAsiaTheme="minorEastAsia" w:cstheme="minorEastAsia"/>
                        <w:sz w:val="24"/>
                        <w:szCs w:val="24"/>
                      </w:rPr>
                    </w:sdtEndPr>
                    <w:sdtContent>
                      <w:p>
                        <w:pPr>
                          <w:pStyle w:val="8"/>
                          <w:jc w:val="center"/>
                          <w:rPr>
                            <w:rFonts w:asciiTheme="minorEastAsia" w:hAnsiTheme="minorEastAsia" w:eastAsiaTheme="minorEastAsia"/>
                            <w:sz w:val="24"/>
                            <w:szCs w:val="24"/>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lang w:val="zh-CN"/>
                          </w:rPr>
                          <w:t>12</w:t>
                        </w:r>
                        <w:r>
                          <w:rPr>
                            <w:rFonts w:hint="eastAsia" w:asciiTheme="minorEastAsia" w:hAnsiTheme="minorEastAsia" w:eastAsiaTheme="minorEastAsia" w:cstheme="minorEastAsia"/>
                            <w:sz w:val="18"/>
                            <w:szCs w:val="18"/>
                          </w:rPr>
                          <w:fldChar w:fldCharType="end"/>
                        </w:r>
                      </w:p>
                    </w:sdtContent>
                  </w:sdt>
                  <w:p>
                    <w:pPr>
                      <w:pStyle w:val="13"/>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宋体" w:hAnsi="宋体" w:eastAsia="宋体" w:cs="宋体"/>
        <w:sz w:val="18"/>
        <w:szCs w:val="18"/>
      </w:rPr>
      <w:id w:val="894623445"/>
      <w:docPartObj>
        <w:docPartGallery w:val="autotext"/>
      </w:docPartObj>
    </w:sdtPr>
    <w:sdtEndPr>
      <w:rPr>
        <w:rFonts w:hint="eastAsia" w:ascii="宋体" w:hAnsi="宋体" w:eastAsia="宋体" w:cs="宋体"/>
        <w:sz w:val="18"/>
        <w:szCs w:val="18"/>
      </w:rPr>
    </w:sdtEndPr>
    <w:sdtContent>
      <w:p>
        <w:pPr>
          <w:pStyle w:val="8"/>
          <w:ind w:right="210"/>
          <w:jc w:val="center"/>
          <w:rPr>
            <w:rFonts w:hint="eastAsia" w:ascii="宋体" w:hAnsi="宋体" w:eastAsia="宋体" w:cs="宋体"/>
            <w:sz w:val="18"/>
            <w:szCs w:val="18"/>
          </w:rPr>
        </w:pPr>
        <w:r>
          <w:rPr>
            <w:rFonts w:hint="eastAsia" w:ascii="宋体" w:hAnsi="宋体" w:eastAsia="宋体" w:cs="宋体"/>
            <w:sz w:val="18"/>
            <w:szCs w:val="18"/>
          </w:rPr>
          <w:fldChar w:fldCharType="begin"/>
        </w:r>
        <w:r>
          <w:rPr>
            <w:rFonts w:hint="eastAsia" w:ascii="宋体" w:hAnsi="宋体" w:eastAsia="宋体" w:cs="宋体"/>
            <w:sz w:val="18"/>
            <w:szCs w:val="18"/>
          </w:rPr>
          <w:instrText xml:space="preserve">PAGE   \* MERGEFORMAT</w:instrText>
        </w:r>
        <w:r>
          <w:rPr>
            <w:rFonts w:hint="eastAsia" w:ascii="宋体" w:hAnsi="宋体" w:eastAsia="宋体" w:cs="宋体"/>
            <w:sz w:val="18"/>
            <w:szCs w:val="18"/>
          </w:rPr>
          <w:fldChar w:fldCharType="separate"/>
        </w:r>
        <w:r>
          <w:rPr>
            <w:rFonts w:hint="eastAsia" w:ascii="宋体" w:hAnsi="宋体" w:eastAsia="宋体" w:cs="宋体"/>
            <w:sz w:val="18"/>
            <w:szCs w:val="18"/>
            <w:lang w:val="zh-CN"/>
          </w:rPr>
          <w:t>6</w:t>
        </w:r>
        <w:r>
          <w:rPr>
            <w:rFonts w:hint="eastAsia" w:ascii="宋体" w:hAnsi="宋体" w:eastAsia="宋体" w:cs="宋体"/>
            <w:sz w:val="18"/>
            <w:szCs w:val="18"/>
          </w:rPr>
          <w:fldChar w:fldCharType="end"/>
        </w:r>
      </w:p>
    </w:sdtContent>
  </w:sdt>
  <w:p>
    <w:pPr>
      <w:pStyle w:val="8"/>
      <w:ind w:right="210"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top w:val="none" w:color="auto" w:sz="0" w:space="1"/>
        <w:left w:val="none" w:color="auto" w:sz="0" w:space="4"/>
        <w:bottom w:val="none" w:color="auto" w:sz="0" w:space="1"/>
        <w:right w:val="none" w:color="auto" w:sz="0" w:space="4"/>
      </w:pBdr>
      <w:jc w:val="both"/>
    </w:pPr>
    <w:r>
      <mc:AlternateContent>
        <mc:Choice Requires="wps">
          <w:drawing>
            <wp:anchor distT="0" distB="0" distL="114300" distR="114300" simplePos="0" relativeHeight="251659264" behindDoc="0" locked="0" layoutInCell="1" allowOverlap="1">
              <wp:simplePos x="0" y="0"/>
              <wp:positionH relativeFrom="margin">
                <wp:posOffset>2646680</wp:posOffset>
              </wp:positionH>
              <wp:positionV relativeFrom="paragraph">
                <wp:posOffset>123825</wp:posOffset>
              </wp:positionV>
              <wp:extent cx="648335" cy="416560"/>
              <wp:effectExtent l="0" t="0" r="0" b="0"/>
              <wp:wrapNone/>
              <wp:docPr id="1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648335" cy="416560"/>
                      </a:xfrm>
                      <a:prstGeom prst="rect">
                        <a:avLst/>
                      </a:prstGeom>
                      <a:noFill/>
                      <a:ln>
                        <a:noFill/>
                      </a:ln>
                      <a:effectLst/>
                    </wps:spPr>
                    <wps:txbx>
                      <w:txbxContent>
                        <w:sdt>
                          <w:sdtPr>
                            <w:rPr>
                              <w:rFonts w:hint="default"/>
                              <w:lang w:val="en-US"/>
                            </w:rPr>
                            <w:id w:val="-1581451183"/>
                          </w:sdtPr>
                          <w:sdtEndPr>
                            <w:rPr>
                              <w:rFonts w:hint="default" w:asciiTheme="minorEastAsia" w:hAnsiTheme="minorEastAsia" w:eastAsiaTheme="minorEastAsia"/>
                              <w:sz w:val="24"/>
                              <w:szCs w:val="24"/>
                              <w:lang w:val="en-US"/>
                            </w:rPr>
                          </w:sdtEndPr>
                          <w:sdtContent>
                            <w:p>
                              <w:pPr>
                                <w:pStyle w:val="8"/>
                                <w:jc w:val="center"/>
                                <w:rPr>
                                  <w:rFonts w:asciiTheme="minorEastAsia" w:hAnsiTheme="minorEastAsia" w:eastAsiaTheme="minorEastAsia"/>
                                  <w:sz w:val="24"/>
                                  <w:szCs w:val="24"/>
                                </w:rPr>
                              </w:pPr>
                              <w:r>
                                <w:rPr>
                                  <w:rFonts w:hint="eastAsia"/>
                                  <w:lang w:val="en-US" w:eastAsia="zh-CN"/>
                                </w:rPr>
                                <w:t>11</w:t>
                              </w:r>
                            </w:p>
                          </w:sdtContent>
                        </w:sdt>
                        <w:p>
                          <w:pPr>
                            <w:pStyle w:val="13"/>
                          </w:pP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left:208.4pt;margin-top:9.75pt;height:32.8pt;width:51.05pt;mso-position-horizontal-relative:margin;mso-wrap-style:none;z-index:251659264;mso-width-relative:page;mso-height-relative:page;" filled="f" stroked="f" coordsize="21600,21600" o:gfxdata="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buZXtUAAAAJAQAADwAAAAAAAAABACAA&#10;AAAiAAAAZHJzL2Rvd25yZXYueG1sUEsBAhQAFAAAAAgAh07iQG3/IMsQAgAAEQQAAA4AAAAAAAAA&#10;AQAgAAAAJAEAAGRycy9lMm9Eb2MueG1sUEsFBgAAAAAGAAYAWQEAAKYFAAAAAA==&#10;">
              <v:fill on="f" focussize="0,0"/>
              <v:stroke on="f"/>
              <v:imagedata o:title=""/>
              <o:lock v:ext="edit" aspectratio="f"/>
              <v:textbox inset="0mm,0mm,0mm,0mm" style="mso-fit-shape-to-text:t;">
                <w:txbxContent>
                  <w:sdt>
                    <w:sdtPr>
                      <w:rPr>
                        <w:rFonts w:hint="default"/>
                        <w:lang w:val="en-US"/>
                      </w:rPr>
                      <w:id w:val="-1581451183"/>
                    </w:sdtPr>
                    <w:sdtEndPr>
                      <w:rPr>
                        <w:rFonts w:hint="default" w:asciiTheme="minorEastAsia" w:hAnsiTheme="minorEastAsia" w:eastAsiaTheme="minorEastAsia"/>
                        <w:sz w:val="24"/>
                        <w:szCs w:val="24"/>
                        <w:lang w:val="en-US"/>
                      </w:rPr>
                    </w:sdtEndPr>
                    <w:sdtContent>
                      <w:p>
                        <w:pPr>
                          <w:pStyle w:val="8"/>
                          <w:jc w:val="center"/>
                          <w:rPr>
                            <w:rFonts w:asciiTheme="minorEastAsia" w:hAnsiTheme="minorEastAsia" w:eastAsiaTheme="minorEastAsia"/>
                            <w:sz w:val="24"/>
                            <w:szCs w:val="24"/>
                          </w:rPr>
                        </w:pPr>
                        <w:r>
                          <w:rPr>
                            <w:rFonts w:hint="eastAsia"/>
                            <w:lang w:val="en-US" w:eastAsia="zh-CN"/>
                          </w:rPr>
                          <w:t>11</w:t>
                        </w:r>
                      </w:p>
                    </w:sdtContent>
                  </w:sdt>
                  <w:p>
                    <w:pPr>
                      <w:pStyle w:val="13"/>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20"/>
      <w:jc w:val="right"/>
      <w:rPr>
        <w:rFonts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AQ</w:t>
    </w:r>
    <w:r>
      <w:rPr>
        <w:rFonts w:ascii="Times New Roman" w:hAnsi="Times New Roman" w:eastAsia="宋体" w:cs="Times New Roman"/>
        <w:sz w:val="21"/>
        <w:lang w:val="en-US" w:eastAsia="zh-CN" w:bidi="ar-SA"/>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r>
      <w:rPr>
        <w:rFonts w:hint="eastAsia"/>
      </w:rPr>
      <w:t>AQ</w:t>
    </w: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068B0"/>
    <w:multiLevelType w:val="multilevel"/>
    <w:tmpl w:val="007068B0"/>
    <w:lvl w:ilvl="0" w:tentative="0">
      <w:start w:val="1"/>
      <w:numFmt w:val="lowerLetter"/>
      <w:pStyle w:val="45"/>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8CF0DCA"/>
    <w:multiLevelType w:val="multilevel"/>
    <w:tmpl w:val="08CF0DCA"/>
    <w:lvl w:ilvl="0" w:tentative="0">
      <w:start w:val="1"/>
      <w:numFmt w:val="lowerLetter"/>
      <w:pStyle w:val="48"/>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BCE08F5"/>
    <w:multiLevelType w:val="multilevel"/>
    <w:tmpl w:val="0BCE08F5"/>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18B2B5F"/>
    <w:multiLevelType w:val="multilevel"/>
    <w:tmpl w:val="118B2B5F"/>
    <w:lvl w:ilvl="0" w:tentative="0">
      <w:start w:val="1"/>
      <w:numFmt w:val="lowerLetter"/>
      <w:lvlText w:val="%1)"/>
      <w:lvlJc w:val="left"/>
      <w:pPr>
        <w:ind w:left="840" w:hanging="420"/>
      </w:pPr>
    </w:lvl>
    <w:lvl w:ilvl="1" w:tentative="0">
      <w:start w:val="1"/>
      <w:numFmt w:val="lowerRoman"/>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1A416A23"/>
    <w:multiLevelType w:val="multilevel"/>
    <w:tmpl w:val="1A416A23"/>
    <w:lvl w:ilvl="0" w:tentative="0">
      <w:start w:val="1"/>
      <w:numFmt w:val="lowerLetter"/>
      <w:lvlText w:val="%1)"/>
      <w:lvlJc w:val="left"/>
      <w:pPr>
        <w:ind w:left="840" w:hanging="420"/>
      </w:pPr>
    </w:lvl>
    <w:lvl w:ilvl="1" w:tentative="0">
      <w:start w:val="0"/>
      <w:numFmt w:val="bullet"/>
      <w:lvlText w:val=""/>
      <w:lvlJc w:val="left"/>
      <w:pPr>
        <w:ind w:left="1350" w:hanging="510"/>
      </w:pPr>
      <w:rPr>
        <w:rFonts w:hint="default" w:ascii="Wingdings" w:hAnsi="Wingdings" w:eastAsia="宋体" w:cs="Times New Roman"/>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2626482B"/>
    <w:multiLevelType w:val="multilevel"/>
    <w:tmpl w:val="2626482B"/>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2F9750F6"/>
    <w:multiLevelType w:val="multilevel"/>
    <w:tmpl w:val="2F9750F6"/>
    <w:lvl w:ilvl="0" w:tentative="0">
      <w:start w:val="1"/>
      <w:numFmt w:val="lowerLetter"/>
      <w:lvlText w:val="%1)"/>
      <w:lvlJc w:val="left"/>
      <w:pPr>
        <w:ind w:left="840" w:hanging="420"/>
      </w:pPr>
    </w:lvl>
    <w:lvl w:ilvl="1" w:tentative="0">
      <w:start w:val="1"/>
      <w:numFmt w:val="lowerRoman"/>
      <w:lvlText w:val="%2）"/>
      <w:lvlJc w:val="left"/>
      <w:pPr>
        <w:ind w:left="1560" w:hanging="720"/>
      </w:pPr>
      <w:rPr>
        <w:rFonts w:hint="default"/>
      </w:r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33DB16C7"/>
    <w:multiLevelType w:val="multilevel"/>
    <w:tmpl w:val="33DB16C7"/>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44C50F90"/>
    <w:multiLevelType w:val="multilevel"/>
    <w:tmpl w:val="44C50F90"/>
    <w:lvl w:ilvl="0" w:tentative="0">
      <w:start w:val="1"/>
      <w:numFmt w:val="lowerLetter"/>
      <w:pStyle w:val="33"/>
      <w:lvlText w:val="%1)"/>
      <w:lvlJc w:val="left"/>
      <w:pPr>
        <w:tabs>
          <w:tab w:val="left" w:pos="851"/>
        </w:tabs>
        <w:ind w:left="851" w:hanging="426"/>
      </w:pPr>
      <w:rPr>
        <w:rFonts w:hint="eastAsia" w:ascii="宋体" w:hAnsi="Times New Roman" w:eastAsia="宋体"/>
        <w:sz w:val="21"/>
      </w:rPr>
    </w:lvl>
    <w:lvl w:ilvl="1" w:tentative="0">
      <w:start w:val="1"/>
      <w:numFmt w:val="decimal"/>
      <w:pStyle w:val="36"/>
      <w:lvlText w:val="%2)"/>
      <w:lvlJc w:val="left"/>
      <w:pPr>
        <w:tabs>
          <w:tab w:val="left" w:pos="1276"/>
        </w:tabs>
        <w:ind w:left="1276" w:hanging="425"/>
      </w:pPr>
      <w:rPr>
        <w:rFonts w:hint="eastAsia" w:ascii="宋体" w:hAnsi="Times New Roman" w:eastAsia="宋体"/>
        <w:sz w:val="21"/>
      </w:rPr>
    </w:lvl>
    <w:lvl w:ilvl="2" w:tentative="0">
      <w:start w:val="1"/>
      <w:numFmt w:val="decimal"/>
      <w:pStyle w:val="3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9">
    <w:nsid w:val="48802D1C"/>
    <w:multiLevelType w:val="multilevel"/>
    <w:tmpl w:val="48802D1C"/>
    <w:lvl w:ilvl="0" w:tentative="0">
      <w:start w:val="1"/>
      <w:numFmt w:val="upperLetter"/>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0">
    <w:nsid w:val="4C35584F"/>
    <w:multiLevelType w:val="multilevel"/>
    <w:tmpl w:val="4C35584F"/>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4F246F53"/>
    <w:multiLevelType w:val="multilevel"/>
    <w:tmpl w:val="4F246F53"/>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5603797C"/>
    <w:multiLevelType w:val="multilevel"/>
    <w:tmpl w:val="5603797C"/>
    <w:lvl w:ilvl="0" w:tentative="0">
      <w:start w:val="1"/>
      <w:numFmt w:val="upperLetter"/>
      <w:suff w:val="space"/>
      <w:lvlText w:val="%1"/>
      <w:lvlJc w:val="left"/>
      <w:pPr>
        <w:ind w:left="425" w:hanging="425"/>
      </w:pPr>
      <w:rPr>
        <w:rFonts w:hint="eastAsia"/>
      </w:rPr>
    </w:lvl>
    <w:lvl w:ilvl="1" w:tentative="0">
      <w:start w:val="1"/>
      <w:numFmt w:val="decimal"/>
      <w:pStyle w:val="39"/>
      <w:suff w:val="space"/>
      <w:lvlText w:val="表%1.%2"/>
      <w:lvlJc w:val="center"/>
      <w:pPr>
        <w:ind w:left="0" w:firstLine="0"/>
      </w:pPr>
      <w:rPr>
        <w:rFonts w:hint="eastAsia" w:ascii="黑体" w:eastAsia="黑体"/>
        <w:sz w:val="21"/>
      </w:rPr>
    </w:lvl>
    <w:lvl w:ilvl="2" w:tentative="0">
      <w:start w:val="1"/>
      <w:numFmt w:val="decimal"/>
      <w:pStyle w:val="40"/>
      <w:lvlText w:val="%1.%2.%3"/>
      <w:lvlJc w:val="left"/>
      <w:pPr>
        <w:ind w:left="1418" w:hanging="567"/>
      </w:pPr>
      <w:rPr>
        <w:rFonts w:hint="eastAsia"/>
      </w:rPr>
    </w:lvl>
    <w:lvl w:ilvl="3" w:tentative="0">
      <w:start w:val="1"/>
      <w:numFmt w:val="decimal"/>
      <w:pStyle w:val="29"/>
      <w:lvlText w:val="%1.%2.%3.%4"/>
      <w:lvlJc w:val="left"/>
      <w:pPr>
        <w:ind w:left="1984" w:hanging="708"/>
      </w:pPr>
      <w:rPr>
        <w:rFonts w:hint="eastAsia"/>
      </w:rPr>
    </w:lvl>
    <w:lvl w:ilvl="4" w:tentative="0">
      <w:start w:val="1"/>
      <w:numFmt w:val="decimal"/>
      <w:pStyle w:val="32"/>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657D3FBC"/>
    <w:multiLevelType w:val="multilevel"/>
    <w:tmpl w:val="657D3FBC"/>
    <w:lvl w:ilvl="0" w:tentative="0">
      <w:start w:val="1"/>
      <w:numFmt w:val="upperLetter"/>
      <w:pStyle w:val="42"/>
      <w:suff w:val="nothing"/>
      <w:lvlText w:val="附录%1"/>
      <w:lvlJc w:val="left"/>
      <w:pPr>
        <w:ind w:left="2520" w:firstLine="0"/>
      </w:pPr>
      <w:rPr>
        <w:rFonts w:hint="default"/>
        <w:color w:val="auto"/>
        <w:spacing w:val="100"/>
      </w:rPr>
    </w:lvl>
    <w:lvl w:ilvl="1" w:tentative="0">
      <w:start w:val="1"/>
      <w:numFmt w:val="decimal"/>
      <w:suff w:val="nothing"/>
      <w:lvlText w:val="%1.%2　"/>
      <w:lvlJc w:val="left"/>
      <w:pPr>
        <w:ind w:left="284" w:firstLine="0"/>
      </w:pPr>
      <w:rPr>
        <w:rFonts w:hint="eastAsia" w:ascii="黑体" w:eastAsia="黑体"/>
        <w:b w:val="0"/>
        <w:i w:val="0"/>
        <w:sz w:val="21"/>
      </w:rPr>
    </w:lvl>
    <w:lvl w:ilvl="2" w:tentative="0">
      <w:start w:val="1"/>
      <w:numFmt w:val="decimal"/>
      <w:suff w:val="nothing"/>
      <w:lvlText w:val="%1.%2.%3　"/>
      <w:lvlJc w:val="left"/>
      <w:pPr>
        <w:ind w:left="1135" w:firstLine="0"/>
      </w:pPr>
      <w:rPr>
        <w:rFonts w:hint="eastAsia" w:ascii="黑体" w:eastAsia="黑体"/>
        <w:b w:val="0"/>
        <w:i w:val="0"/>
        <w:sz w:val="21"/>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284"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suff w:val="nothing"/>
      <w:lvlText w:val="%1%2.%3.%4　"/>
      <w:lvlJc w:val="left"/>
      <w:pPr>
        <w:ind w:left="426" w:firstLine="0"/>
      </w:pPr>
      <w:rPr>
        <w:rFonts w:hint="eastAsia" w:ascii="黑体" w:eastAsia="黑体"/>
        <w:b w:val="0"/>
        <w:i w:val="0"/>
        <w:sz w:val="21"/>
      </w:rPr>
    </w:lvl>
    <w:lvl w:ilvl="4" w:tentative="0">
      <w:start w:val="1"/>
      <w:numFmt w:val="decimal"/>
      <w:suff w:val="nothing"/>
      <w:lvlText w:val="%1%2.%3.%4.%5　"/>
      <w:lvlJc w:val="left"/>
      <w:pPr>
        <w:ind w:left="1702" w:firstLine="0"/>
      </w:pPr>
      <w:rPr>
        <w:rFonts w:hint="eastAsia" w:ascii="黑体" w:eastAsia="黑体"/>
        <w:b w:val="0"/>
        <w:i w:val="0"/>
        <w:sz w:val="21"/>
      </w:rPr>
    </w:lvl>
    <w:lvl w:ilvl="5" w:tentative="0">
      <w:start w:val="1"/>
      <w:numFmt w:val="decimal"/>
      <w:suff w:val="nothing"/>
      <w:lvlText w:val="%1%2.%3.%4.%5.%6　"/>
      <w:lvlJc w:val="left"/>
      <w:pPr>
        <w:ind w:left="1985"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7315453E"/>
    <w:multiLevelType w:val="multilevel"/>
    <w:tmpl w:val="7315453E"/>
    <w:lvl w:ilvl="0" w:tentative="0">
      <w:start w:val="1"/>
      <w:numFmt w:val="lowerLetter"/>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7529770D"/>
    <w:multiLevelType w:val="multilevel"/>
    <w:tmpl w:val="7529770D"/>
    <w:lvl w:ilvl="0" w:tentative="0">
      <w:start w:val="1"/>
      <w:numFmt w:val="lowerLetter"/>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76EF0A82"/>
    <w:multiLevelType w:val="multilevel"/>
    <w:tmpl w:val="76EF0A82"/>
    <w:lvl w:ilvl="0" w:tentative="0">
      <w:start w:val="1"/>
      <w:numFmt w:val="lowerLetter"/>
      <w:pStyle w:val="41"/>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2"/>
  </w:num>
  <w:num w:numId="2">
    <w:abstractNumId w:val="8"/>
  </w:num>
  <w:num w:numId="3">
    <w:abstractNumId w:val="17"/>
  </w:num>
  <w:num w:numId="4">
    <w:abstractNumId w:val="13"/>
  </w:num>
  <w:num w:numId="5">
    <w:abstractNumId w:val="0"/>
  </w:num>
  <w:num w:numId="6">
    <w:abstractNumId w:val="1"/>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3"/>
  </w:num>
  <w:num w:numId="16">
    <w:abstractNumId w:val="16"/>
  </w:num>
  <w:num w:numId="17">
    <w:abstractNumId w:val="10"/>
  </w:num>
  <w:num w:numId="18">
    <w:abstractNumId w:val="7"/>
  </w:num>
  <w:num w:numId="19">
    <w:abstractNumId w:val="2"/>
  </w:num>
  <w:num w:numId="20">
    <w:abstractNumId w:val="5"/>
  </w:num>
  <w:num w:numId="21">
    <w:abstractNumId w:val="4"/>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596840A6"/>
    <w:rsid w:val="00002D16"/>
    <w:rsid w:val="00006F73"/>
    <w:rsid w:val="00007EFD"/>
    <w:rsid w:val="000127DC"/>
    <w:rsid w:val="00032932"/>
    <w:rsid w:val="00047087"/>
    <w:rsid w:val="00047F1B"/>
    <w:rsid w:val="00050092"/>
    <w:rsid w:val="00050F98"/>
    <w:rsid w:val="00053AB0"/>
    <w:rsid w:val="00055D7D"/>
    <w:rsid w:val="00061072"/>
    <w:rsid w:val="000639C0"/>
    <w:rsid w:val="00064136"/>
    <w:rsid w:val="00070792"/>
    <w:rsid w:val="00075C35"/>
    <w:rsid w:val="00077792"/>
    <w:rsid w:val="000858D6"/>
    <w:rsid w:val="00086601"/>
    <w:rsid w:val="000921D7"/>
    <w:rsid w:val="00094451"/>
    <w:rsid w:val="000A0472"/>
    <w:rsid w:val="000B2BA5"/>
    <w:rsid w:val="000B5C80"/>
    <w:rsid w:val="000C5D16"/>
    <w:rsid w:val="000D1450"/>
    <w:rsid w:val="000D35C6"/>
    <w:rsid w:val="000D3F42"/>
    <w:rsid w:val="000F6A41"/>
    <w:rsid w:val="00100554"/>
    <w:rsid w:val="00105265"/>
    <w:rsid w:val="00105E9A"/>
    <w:rsid w:val="001132A9"/>
    <w:rsid w:val="00113E01"/>
    <w:rsid w:val="00120E4C"/>
    <w:rsid w:val="0012132D"/>
    <w:rsid w:val="00122014"/>
    <w:rsid w:val="001325AB"/>
    <w:rsid w:val="00141750"/>
    <w:rsid w:val="0015193A"/>
    <w:rsid w:val="00155CBE"/>
    <w:rsid w:val="0015689B"/>
    <w:rsid w:val="00156D90"/>
    <w:rsid w:val="001570F2"/>
    <w:rsid w:val="00164080"/>
    <w:rsid w:val="00165FA7"/>
    <w:rsid w:val="0017261B"/>
    <w:rsid w:val="00173623"/>
    <w:rsid w:val="00190695"/>
    <w:rsid w:val="00192CF7"/>
    <w:rsid w:val="001A5D22"/>
    <w:rsid w:val="001C3450"/>
    <w:rsid w:val="001D0BC1"/>
    <w:rsid w:val="001D221D"/>
    <w:rsid w:val="001D489B"/>
    <w:rsid w:val="001E489A"/>
    <w:rsid w:val="001F2BAC"/>
    <w:rsid w:val="001F4621"/>
    <w:rsid w:val="001F528B"/>
    <w:rsid w:val="001F7FDC"/>
    <w:rsid w:val="00200957"/>
    <w:rsid w:val="0020160D"/>
    <w:rsid w:val="00205021"/>
    <w:rsid w:val="00207E2A"/>
    <w:rsid w:val="00210BB5"/>
    <w:rsid w:val="002147D7"/>
    <w:rsid w:val="002215BB"/>
    <w:rsid w:val="002249CB"/>
    <w:rsid w:val="00227202"/>
    <w:rsid w:val="0023639E"/>
    <w:rsid w:val="00253054"/>
    <w:rsid w:val="00255267"/>
    <w:rsid w:val="00277570"/>
    <w:rsid w:val="00282701"/>
    <w:rsid w:val="002835CC"/>
    <w:rsid w:val="002837F4"/>
    <w:rsid w:val="00283C87"/>
    <w:rsid w:val="00283F46"/>
    <w:rsid w:val="002873F1"/>
    <w:rsid w:val="00291563"/>
    <w:rsid w:val="002943CF"/>
    <w:rsid w:val="002B0461"/>
    <w:rsid w:val="002C12EF"/>
    <w:rsid w:val="002C74D2"/>
    <w:rsid w:val="002E070F"/>
    <w:rsid w:val="002E4A59"/>
    <w:rsid w:val="002E7867"/>
    <w:rsid w:val="002F3090"/>
    <w:rsid w:val="002F5FEF"/>
    <w:rsid w:val="002F6F6B"/>
    <w:rsid w:val="003037FF"/>
    <w:rsid w:val="003112E0"/>
    <w:rsid w:val="003246BA"/>
    <w:rsid w:val="00336440"/>
    <w:rsid w:val="00344C46"/>
    <w:rsid w:val="00354A44"/>
    <w:rsid w:val="0036117C"/>
    <w:rsid w:val="00365962"/>
    <w:rsid w:val="00372BCA"/>
    <w:rsid w:val="00386196"/>
    <w:rsid w:val="003920DB"/>
    <w:rsid w:val="0039346A"/>
    <w:rsid w:val="003A2F40"/>
    <w:rsid w:val="003B0C3E"/>
    <w:rsid w:val="003B16EE"/>
    <w:rsid w:val="003C0DD3"/>
    <w:rsid w:val="003C3B62"/>
    <w:rsid w:val="003C584D"/>
    <w:rsid w:val="003C76E9"/>
    <w:rsid w:val="003D68B2"/>
    <w:rsid w:val="003E2AD0"/>
    <w:rsid w:val="003E713A"/>
    <w:rsid w:val="003F2B85"/>
    <w:rsid w:val="003F2E72"/>
    <w:rsid w:val="003F411E"/>
    <w:rsid w:val="003F710A"/>
    <w:rsid w:val="00405316"/>
    <w:rsid w:val="0040715D"/>
    <w:rsid w:val="00421296"/>
    <w:rsid w:val="0043081C"/>
    <w:rsid w:val="0043699B"/>
    <w:rsid w:val="00442994"/>
    <w:rsid w:val="00443A3B"/>
    <w:rsid w:val="00443E5E"/>
    <w:rsid w:val="00451C35"/>
    <w:rsid w:val="00453ED8"/>
    <w:rsid w:val="004673AB"/>
    <w:rsid w:val="00467FE7"/>
    <w:rsid w:val="00476CB8"/>
    <w:rsid w:val="00483B69"/>
    <w:rsid w:val="00484762"/>
    <w:rsid w:val="00494440"/>
    <w:rsid w:val="004A27E1"/>
    <w:rsid w:val="004B1022"/>
    <w:rsid w:val="004B3C5C"/>
    <w:rsid w:val="004B7EEA"/>
    <w:rsid w:val="004C2796"/>
    <w:rsid w:val="004C5887"/>
    <w:rsid w:val="004C6963"/>
    <w:rsid w:val="004E12FC"/>
    <w:rsid w:val="004E21AE"/>
    <w:rsid w:val="004E347B"/>
    <w:rsid w:val="004E58C1"/>
    <w:rsid w:val="004F404C"/>
    <w:rsid w:val="004F5E6E"/>
    <w:rsid w:val="00504B66"/>
    <w:rsid w:val="00513305"/>
    <w:rsid w:val="005144D2"/>
    <w:rsid w:val="00523E52"/>
    <w:rsid w:val="0052427B"/>
    <w:rsid w:val="00524FF7"/>
    <w:rsid w:val="00531C30"/>
    <w:rsid w:val="005535FE"/>
    <w:rsid w:val="00555BA2"/>
    <w:rsid w:val="005565D4"/>
    <w:rsid w:val="00557AA3"/>
    <w:rsid w:val="00557D21"/>
    <w:rsid w:val="00572F8C"/>
    <w:rsid w:val="0057303B"/>
    <w:rsid w:val="00576693"/>
    <w:rsid w:val="00587B46"/>
    <w:rsid w:val="00587D5B"/>
    <w:rsid w:val="00590187"/>
    <w:rsid w:val="005908B3"/>
    <w:rsid w:val="00591FD1"/>
    <w:rsid w:val="005A0D7E"/>
    <w:rsid w:val="005A34C7"/>
    <w:rsid w:val="005A4309"/>
    <w:rsid w:val="005A7837"/>
    <w:rsid w:val="005B435E"/>
    <w:rsid w:val="005B5539"/>
    <w:rsid w:val="005B557A"/>
    <w:rsid w:val="005C06CE"/>
    <w:rsid w:val="005C1C2A"/>
    <w:rsid w:val="005C34EB"/>
    <w:rsid w:val="005D7761"/>
    <w:rsid w:val="005E2840"/>
    <w:rsid w:val="005F6C03"/>
    <w:rsid w:val="0060471D"/>
    <w:rsid w:val="0061445F"/>
    <w:rsid w:val="00623EEE"/>
    <w:rsid w:val="0062520E"/>
    <w:rsid w:val="00627B2B"/>
    <w:rsid w:val="00630BF6"/>
    <w:rsid w:val="00632F72"/>
    <w:rsid w:val="00635E5A"/>
    <w:rsid w:val="00640853"/>
    <w:rsid w:val="006419BA"/>
    <w:rsid w:val="0064561C"/>
    <w:rsid w:val="006525C6"/>
    <w:rsid w:val="0066006B"/>
    <w:rsid w:val="00660F7E"/>
    <w:rsid w:val="006668BC"/>
    <w:rsid w:val="00670323"/>
    <w:rsid w:val="00670571"/>
    <w:rsid w:val="006746F5"/>
    <w:rsid w:val="0067592D"/>
    <w:rsid w:val="0068622F"/>
    <w:rsid w:val="00693FDE"/>
    <w:rsid w:val="00694525"/>
    <w:rsid w:val="00695629"/>
    <w:rsid w:val="00697C6F"/>
    <w:rsid w:val="006A219C"/>
    <w:rsid w:val="006A2485"/>
    <w:rsid w:val="006A41B2"/>
    <w:rsid w:val="006A504F"/>
    <w:rsid w:val="006B166A"/>
    <w:rsid w:val="006B1AD0"/>
    <w:rsid w:val="006B34F2"/>
    <w:rsid w:val="006B629A"/>
    <w:rsid w:val="006C001B"/>
    <w:rsid w:val="006C19E5"/>
    <w:rsid w:val="006C3291"/>
    <w:rsid w:val="006D5305"/>
    <w:rsid w:val="006D6771"/>
    <w:rsid w:val="006E37EE"/>
    <w:rsid w:val="006E3D6B"/>
    <w:rsid w:val="006F3DD6"/>
    <w:rsid w:val="006F76A8"/>
    <w:rsid w:val="00700B2E"/>
    <w:rsid w:val="00701CFC"/>
    <w:rsid w:val="00703E18"/>
    <w:rsid w:val="00704281"/>
    <w:rsid w:val="00705606"/>
    <w:rsid w:val="0070572B"/>
    <w:rsid w:val="00706B96"/>
    <w:rsid w:val="00712E8B"/>
    <w:rsid w:val="00716077"/>
    <w:rsid w:val="00721892"/>
    <w:rsid w:val="0072203C"/>
    <w:rsid w:val="00722440"/>
    <w:rsid w:val="007247FB"/>
    <w:rsid w:val="00726D3D"/>
    <w:rsid w:val="00731997"/>
    <w:rsid w:val="007328F4"/>
    <w:rsid w:val="0074556A"/>
    <w:rsid w:val="00755FB7"/>
    <w:rsid w:val="00756332"/>
    <w:rsid w:val="00756EC3"/>
    <w:rsid w:val="0075796F"/>
    <w:rsid w:val="00764BF0"/>
    <w:rsid w:val="00774311"/>
    <w:rsid w:val="0077686D"/>
    <w:rsid w:val="00776A35"/>
    <w:rsid w:val="00780F1E"/>
    <w:rsid w:val="00781299"/>
    <w:rsid w:val="00784D8A"/>
    <w:rsid w:val="007850A6"/>
    <w:rsid w:val="00787D82"/>
    <w:rsid w:val="00790D93"/>
    <w:rsid w:val="00790F9C"/>
    <w:rsid w:val="007A1B65"/>
    <w:rsid w:val="007B0F5E"/>
    <w:rsid w:val="007B2012"/>
    <w:rsid w:val="007C4406"/>
    <w:rsid w:val="007D0B89"/>
    <w:rsid w:val="007D5630"/>
    <w:rsid w:val="007D6486"/>
    <w:rsid w:val="007E4E88"/>
    <w:rsid w:val="007F3608"/>
    <w:rsid w:val="007F3F28"/>
    <w:rsid w:val="007F7484"/>
    <w:rsid w:val="008039F3"/>
    <w:rsid w:val="008043B9"/>
    <w:rsid w:val="00816BB1"/>
    <w:rsid w:val="00820E5A"/>
    <w:rsid w:val="0083200F"/>
    <w:rsid w:val="00833D2B"/>
    <w:rsid w:val="00834399"/>
    <w:rsid w:val="0084107B"/>
    <w:rsid w:val="0084250C"/>
    <w:rsid w:val="0084629C"/>
    <w:rsid w:val="008513E1"/>
    <w:rsid w:val="008555A3"/>
    <w:rsid w:val="008560F5"/>
    <w:rsid w:val="0086097E"/>
    <w:rsid w:val="0086635E"/>
    <w:rsid w:val="00872EE2"/>
    <w:rsid w:val="008847C4"/>
    <w:rsid w:val="00893669"/>
    <w:rsid w:val="00894516"/>
    <w:rsid w:val="008A0766"/>
    <w:rsid w:val="008A4D44"/>
    <w:rsid w:val="008A7D0C"/>
    <w:rsid w:val="008B11C3"/>
    <w:rsid w:val="008B7358"/>
    <w:rsid w:val="008C3D14"/>
    <w:rsid w:val="008C7AAB"/>
    <w:rsid w:val="008D77E1"/>
    <w:rsid w:val="008E0516"/>
    <w:rsid w:val="008E0E27"/>
    <w:rsid w:val="008E24C4"/>
    <w:rsid w:val="00905CAE"/>
    <w:rsid w:val="00905EE1"/>
    <w:rsid w:val="009113BA"/>
    <w:rsid w:val="00912F0F"/>
    <w:rsid w:val="0091549C"/>
    <w:rsid w:val="00917362"/>
    <w:rsid w:val="00921445"/>
    <w:rsid w:val="009347C7"/>
    <w:rsid w:val="009448BE"/>
    <w:rsid w:val="00946E86"/>
    <w:rsid w:val="00946F21"/>
    <w:rsid w:val="009514BE"/>
    <w:rsid w:val="009526F8"/>
    <w:rsid w:val="0097124E"/>
    <w:rsid w:val="009723F6"/>
    <w:rsid w:val="009774F2"/>
    <w:rsid w:val="00986C81"/>
    <w:rsid w:val="00992919"/>
    <w:rsid w:val="00994A52"/>
    <w:rsid w:val="009A08A7"/>
    <w:rsid w:val="009A5F2B"/>
    <w:rsid w:val="009A726A"/>
    <w:rsid w:val="009B42CF"/>
    <w:rsid w:val="009C18B1"/>
    <w:rsid w:val="009C4F76"/>
    <w:rsid w:val="009C5069"/>
    <w:rsid w:val="009D1184"/>
    <w:rsid w:val="009D2638"/>
    <w:rsid w:val="009E19A8"/>
    <w:rsid w:val="009E3787"/>
    <w:rsid w:val="009E4D5E"/>
    <w:rsid w:val="009F0500"/>
    <w:rsid w:val="00A02738"/>
    <w:rsid w:val="00A03397"/>
    <w:rsid w:val="00A129DB"/>
    <w:rsid w:val="00A158A0"/>
    <w:rsid w:val="00A15EBA"/>
    <w:rsid w:val="00A17F6C"/>
    <w:rsid w:val="00A20753"/>
    <w:rsid w:val="00A236A9"/>
    <w:rsid w:val="00A24A9B"/>
    <w:rsid w:val="00A25A5D"/>
    <w:rsid w:val="00A31016"/>
    <w:rsid w:val="00A31821"/>
    <w:rsid w:val="00A34CA7"/>
    <w:rsid w:val="00A50AEE"/>
    <w:rsid w:val="00A54155"/>
    <w:rsid w:val="00A62325"/>
    <w:rsid w:val="00A62D72"/>
    <w:rsid w:val="00A738B5"/>
    <w:rsid w:val="00A82725"/>
    <w:rsid w:val="00A83B65"/>
    <w:rsid w:val="00A85782"/>
    <w:rsid w:val="00A900A1"/>
    <w:rsid w:val="00A90428"/>
    <w:rsid w:val="00AC0E1A"/>
    <w:rsid w:val="00AC2932"/>
    <w:rsid w:val="00AD0F01"/>
    <w:rsid w:val="00AD23C2"/>
    <w:rsid w:val="00AD4722"/>
    <w:rsid w:val="00AD4E00"/>
    <w:rsid w:val="00AD6DBC"/>
    <w:rsid w:val="00AF2B44"/>
    <w:rsid w:val="00AF6710"/>
    <w:rsid w:val="00B001D3"/>
    <w:rsid w:val="00B07A17"/>
    <w:rsid w:val="00B109C2"/>
    <w:rsid w:val="00B2025E"/>
    <w:rsid w:val="00B26146"/>
    <w:rsid w:val="00B3002F"/>
    <w:rsid w:val="00B300B7"/>
    <w:rsid w:val="00B32BDD"/>
    <w:rsid w:val="00B42912"/>
    <w:rsid w:val="00B56ECD"/>
    <w:rsid w:val="00B71498"/>
    <w:rsid w:val="00B71E0E"/>
    <w:rsid w:val="00B80B6F"/>
    <w:rsid w:val="00B85249"/>
    <w:rsid w:val="00B91288"/>
    <w:rsid w:val="00BA0E8F"/>
    <w:rsid w:val="00BB765B"/>
    <w:rsid w:val="00BC0ACE"/>
    <w:rsid w:val="00BC14E4"/>
    <w:rsid w:val="00BD1DF1"/>
    <w:rsid w:val="00BE57E7"/>
    <w:rsid w:val="00C02137"/>
    <w:rsid w:val="00C05D7F"/>
    <w:rsid w:val="00C10769"/>
    <w:rsid w:val="00C16C28"/>
    <w:rsid w:val="00C2103C"/>
    <w:rsid w:val="00C210CC"/>
    <w:rsid w:val="00C21AB7"/>
    <w:rsid w:val="00C27E66"/>
    <w:rsid w:val="00C30072"/>
    <w:rsid w:val="00C3542E"/>
    <w:rsid w:val="00C37543"/>
    <w:rsid w:val="00C4411E"/>
    <w:rsid w:val="00C510DC"/>
    <w:rsid w:val="00C54C6C"/>
    <w:rsid w:val="00C55191"/>
    <w:rsid w:val="00C55F71"/>
    <w:rsid w:val="00C70707"/>
    <w:rsid w:val="00C75A27"/>
    <w:rsid w:val="00C84FC8"/>
    <w:rsid w:val="00C91320"/>
    <w:rsid w:val="00C95978"/>
    <w:rsid w:val="00CB0D19"/>
    <w:rsid w:val="00CC22A9"/>
    <w:rsid w:val="00CC3340"/>
    <w:rsid w:val="00CC5039"/>
    <w:rsid w:val="00CC586D"/>
    <w:rsid w:val="00CD065E"/>
    <w:rsid w:val="00CD3C79"/>
    <w:rsid w:val="00CD5366"/>
    <w:rsid w:val="00CE3484"/>
    <w:rsid w:val="00CE37B1"/>
    <w:rsid w:val="00CE5531"/>
    <w:rsid w:val="00CE7B83"/>
    <w:rsid w:val="00CF04FD"/>
    <w:rsid w:val="00CF2848"/>
    <w:rsid w:val="00CF7277"/>
    <w:rsid w:val="00D02C03"/>
    <w:rsid w:val="00D05709"/>
    <w:rsid w:val="00D178BA"/>
    <w:rsid w:val="00D215B2"/>
    <w:rsid w:val="00D278BD"/>
    <w:rsid w:val="00D32B87"/>
    <w:rsid w:val="00D32D6C"/>
    <w:rsid w:val="00D417D6"/>
    <w:rsid w:val="00D44646"/>
    <w:rsid w:val="00D564D9"/>
    <w:rsid w:val="00D61F72"/>
    <w:rsid w:val="00D63AB5"/>
    <w:rsid w:val="00D6596E"/>
    <w:rsid w:val="00D7091F"/>
    <w:rsid w:val="00D728C1"/>
    <w:rsid w:val="00D7333B"/>
    <w:rsid w:val="00D73F0A"/>
    <w:rsid w:val="00D774DF"/>
    <w:rsid w:val="00D87B51"/>
    <w:rsid w:val="00D87C91"/>
    <w:rsid w:val="00D903C9"/>
    <w:rsid w:val="00D926BF"/>
    <w:rsid w:val="00D95F01"/>
    <w:rsid w:val="00DA1749"/>
    <w:rsid w:val="00DA3DAF"/>
    <w:rsid w:val="00DA7E73"/>
    <w:rsid w:val="00DD364C"/>
    <w:rsid w:val="00DD5EEA"/>
    <w:rsid w:val="00DE6F67"/>
    <w:rsid w:val="00E07E07"/>
    <w:rsid w:val="00E26D81"/>
    <w:rsid w:val="00E27AB7"/>
    <w:rsid w:val="00E377AB"/>
    <w:rsid w:val="00E4133C"/>
    <w:rsid w:val="00E420FA"/>
    <w:rsid w:val="00E43A29"/>
    <w:rsid w:val="00E5005F"/>
    <w:rsid w:val="00E51723"/>
    <w:rsid w:val="00E54E72"/>
    <w:rsid w:val="00E60106"/>
    <w:rsid w:val="00E70305"/>
    <w:rsid w:val="00E71F5F"/>
    <w:rsid w:val="00E734E8"/>
    <w:rsid w:val="00E752DA"/>
    <w:rsid w:val="00E8617D"/>
    <w:rsid w:val="00E86AC7"/>
    <w:rsid w:val="00E96D91"/>
    <w:rsid w:val="00E97901"/>
    <w:rsid w:val="00EA4178"/>
    <w:rsid w:val="00EA55A5"/>
    <w:rsid w:val="00EB0DC2"/>
    <w:rsid w:val="00EB1190"/>
    <w:rsid w:val="00EB2219"/>
    <w:rsid w:val="00EB23FD"/>
    <w:rsid w:val="00EC160B"/>
    <w:rsid w:val="00EC6219"/>
    <w:rsid w:val="00EE162B"/>
    <w:rsid w:val="00EE1E89"/>
    <w:rsid w:val="00EE2EF0"/>
    <w:rsid w:val="00EE3258"/>
    <w:rsid w:val="00EE6AF4"/>
    <w:rsid w:val="00EF1849"/>
    <w:rsid w:val="00EF6368"/>
    <w:rsid w:val="00F0415B"/>
    <w:rsid w:val="00F04406"/>
    <w:rsid w:val="00F06391"/>
    <w:rsid w:val="00F23266"/>
    <w:rsid w:val="00F23281"/>
    <w:rsid w:val="00F24434"/>
    <w:rsid w:val="00F2587B"/>
    <w:rsid w:val="00F26E0D"/>
    <w:rsid w:val="00F27223"/>
    <w:rsid w:val="00F35413"/>
    <w:rsid w:val="00F36FA9"/>
    <w:rsid w:val="00F429E1"/>
    <w:rsid w:val="00F45B09"/>
    <w:rsid w:val="00F45B97"/>
    <w:rsid w:val="00F50D6B"/>
    <w:rsid w:val="00F54B1D"/>
    <w:rsid w:val="00F54F25"/>
    <w:rsid w:val="00F63BFE"/>
    <w:rsid w:val="00F66AE4"/>
    <w:rsid w:val="00F6747F"/>
    <w:rsid w:val="00F75C7D"/>
    <w:rsid w:val="00F81DC6"/>
    <w:rsid w:val="00F8291E"/>
    <w:rsid w:val="00F82C7C"/>
    <w:rsid w:val="00FA01A5"/>
    <w:rsid w:val="00FA49EF"/>
    <w:rsid w:val="00FB0062"/>
    <w:rsid w:val="00FB022B"/>
    <w:rsid w:val="00FB63A2"/>
    <w:rsid w:val="00FD7BAF"/>
    <w:rsid w:val="00FE676B"/>
    <w:rsid w:val="062C21B1"/>
    <w:rsid w:val="0847755F"/>
    <w:rsid w:val="085A603B"/>
    <w:rsid w:val="0B5A3C50"/>
    <w:rsid w:val="0EFB135B"/>
    <w:rsid w:val="11BF1E87"/>
    <w:rsid w:val="15DE3AC5"/>
    <w:rsid w:val="177072E4"/>
    <w:rsid w:val="17CD7B3F"/>
    <w:rsid w:val="1C7B37A8"/>
    <w:rsid w:val="1CE8B85B"/>
    <w:rsid w:val="1E390C9F"/>
    <w:rsid w:val="21FE759C"/>
    <w:rsid w:val="239A32E7"/>
    <w:rsid w:val="27C654AE"/>
    <w:rsid w:val="29855C85"/>
    <w:rsid w:val="29F0067F"/>
    <w:rsid w:val="2D676D28"/>
    <w:rsid w:val="2FEDBC2A"/>
    <w:rsid w:val="304030C0"/>
    <w:rsid w:val="31D1451F"/>
    <w:rsid w:val="337BC19D"/>
    <w:rsid w:val="35745C18"/>
    <w:rsid w:val="35F91BE9"/>
    <w:rsid w:val="3A0B55D7"/>
    <w:rsid w:val="3A3A14FA"/>
    <w:rsid w:val="3FEFB7F8"/>
    <w:rsid w:val="3FFE6DA3"/>
    <w:rsid w:val="3FFF8CBA"/>
    <w:rsid w:val="41CA0520"/>
    <w:rsid w:val="477FDE8D"/>
    <w:rsid w:val="48133E7F"/>
    <w:rsid w:val="4A8D1C10"/>
    <w:rsid w:val="4B426510"/>
    <w:rsid w:val="4CFA489E"/>
    <w:rsid w:val="51601C9F"/>
    <w:rsid w:val="52174914"/>
    <w:rsid w:val="5429409D"/>
    <w:rsid w:val="55D1679A"/>
    <w:rsid w:val="578F4217"/>
    <w:rsid w:val="58EF12DE"/>
    <w:rsid w:val="5930071B"/>
    <w:rsid w:val="596840A6"/>
    <w:rsid w:val="59F27B21"/>
    <w:rsid w:val="5BE36290"/>
    <w:rsid w:val="5D590070"/>
    <w:rsid w:val="604069F6"/>
    <w:rsid w:val="616F40C5"/>
    <w:rsid w:val="6AECA43A"/>
    <w:rsid w:val="6C213F2E"/>
    <w:rsid w:val="6C7B4985"/>
    <w:rsid w:val="6EB42D97"/>
    <w:rsid w:val="6EFB5761"/>
    <w:rsid w:val="6F3F9B59"/>
    <w:rsid w:val="711F7F62"/>
    <w:rsid w:val="718921C5"/>
    <w:rsid w:val="77DDE5D9"/>
    <w:rsid w:val="780659D7"/>
    <w:rsid w:val="7A658AE7"/>
    <w:rsid w:val="7BFFF72A"/>
    <w:rsid w:val="7D7FF2C3"/>
    <w:rsid w:val="7D9F8734"/>
    <w:rsid w:val="7DEE78CA"/>
    <w:rsid w:val="7DFFA850"/>
    <w:rsid w:val="7ED20221"/>
    <w:rsid w:val="7EDED9FB"/>
    <w:rsid w:val="7F54E3B4"/>
    <w:rsid w:val="7F7E25B3"/>
    <w:rsid w:val="7FBCDE46"/>
    <w:rsid w:val="7FC84271"/>
    <w:rsid w:val="7FCFF759"/>
    <w:rsid w:val="7FDCB8CA"/>
    <w:rsid w:val="7FFF6D89"/>
    <w:rsid w:val="83E799CD"/>
    <w:rsid w:val="AEBFB98A"/>
    <w:rsid w:val="C26F194A"/>
    <w:rsid w:val="DF7D88A6"/>
    <w:rsid w:val="F37F3895"/>
    <w:rsid w:val="F9FE7F03"/>
    <w:rsid w:val="F9FFDFF5"/>
    <w:rsid w:val="FD8B5456"/>
    <w:rsid w:val="FDFFB621"/>
    <w:rsid w:val="FEDEF1DB"/>
    <w:rsid w:val="FF7D0AC3"/>
    <w:rsid w:val="FF8F9761"/>
    <w:rsid w:val="FFEB99A8"/>
    <w:rsid w:val="FFFC2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nhideWhenUsed="0" w:uiPriority="39" w:semiHidden="0" w:name="toc 2"/>
    <w:lsdException w:qFormat="1"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4"/>
      <w:lang w:val="en-US" w:eastAsia="zh-CN" w:bidi="ar-SA"/>
    </w:rPr>
  </w:style>
  <w:style w:type="paragraph" w:styleId="3">
    <w:name w:val="heading 1"/>
    <w:basedOn w:val="1"/>
    <w:next w:val="1"/>
    <w:link w:val="52"/>
    <w:qFormat/>
    <w:uiPriority w:val="0"/>
    <w:pPr>
      <w:keepNext/>
      <w:keepLines/>
      <w:spacing w:line="600" w:lineRule="exact"/>
      <w:jc w:val="center"/>
      <w:outlineLvl w:val="0"/>
    </w:pPr>
    <w:rPr>
      <w:rFonts w:ascii="微软雅黑" w:hAnsi="微软雅黑" w:eastAsia="微软雅黑" w:cstheme="minorBidi"/>
      <w:kern w:val="44"/>
      <w:sz w:val="44"/>
      <w:szCs w:val="4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53"/>
    <w:qFormat/>
    <w:uiPriority w:val="0"/>
    <w:pPr>
      <w:spacing w:after="120" w:line="560" w:lineRule="exact"/>
      <w:ind w:firstLine="420" w:firstLineChars="200"/>
    </w:pPr>
    <w:rPr>
      <w:rFonts w:ascii="方正仿宋_GBK" w:hAnsi="方正仿宋_GBK" w:eastAsia="方正仿宋_GBK" w:cstheme="minorBidi"/>
      <w:sz w:val="32"/>
      <w:szCs w:val="22"/>
    </w:rPr>
  </w:style>
  <w:style w:type="paragraph" w:styleId="4">
    <w:name w:val="Normal Indent"/>
    <w:basedOn w:val="1"/>
    <w:next w:val="1"/>
    <w:qFormat/>
    <w:uiPriority w:val="99"/>
    <w:pPr>
      <w:ind w:firstLine="420" w:firstLineChars="200"/>
    </w:pPr>
    <w:rPr>
      <w:rFonts w:eastAsia="仿宋"/>
    </w:rPr>
  </w:style>
  <w:style w:type="paragraph" w:styleId="5">
    <w:name w:val="Body Text Indent"/>
    <w:basedOn w:val="1"/>
    <w:next w:val="4"/>
    <w:semiHidden/>
    <w:unhideWhenUsed/>
    <w:qFormat/>
    <w:uiPriority w:val="0"/>
    <w:pPr>
      <w:spacing w:after="120"/>
      <w:ind w:left="420" w:leftChars="200"/>
    </w:pPr>
  </w:style>
  <w:style w:type="paragraph" w:styleId="6">
    <w:name w:val="toc 3"/>
    <w:basedOn w:val="1"/>
    <w:next w:val="1"/>
    <w:unhideWhenUsed/>
    <w:qFormat/>
    <w:uiPriority w:val="39"/>
    <w:pPr>
      <w:ind w:left="840" w:leftChars="400"/>
    </w:pPr>
  </w:style>
  <w:style w:type="paragraph" w:styleId="7">
    <w:name w:val="Balloon Text"/>
    <w:basedOn w:val="1"/>
    <w:link w:val="51"/>
    <w:qFormat/>
    <w:uiPriority w:val="0"/>
    <w:rPr>
      <w:sz w:val="18"/>
      <w:szCs w:val="18"/>
    </w:rPr>
  </w:style>
  <w:style w:type="paragraph" w:styleId="8">
    <w:name w:val="footer"/>
    <w:basedOn w:val="1"/>
    <w:link w:val="20"/>
    <w:qFormat/>
    <w:uiPriority w:val="99"/>
    <w:pPr>
      <w:tabs>
        <w:tab w:val="center" w:pos="4153"/>
        <w:tab w:val="right" w:pos="8306"/>
      </w:tabs>
      <w:snapToGrid w:val="0"/>
      <w:jc w:val="left"/>
    </w:pPr>
    <w:rPr>
      <w:sz w:val="18"/>
      <w:szCs w:val="18"/>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adjustRightInd w:val="0"/>
      <w:spacing w:line="400" w:lineRule="exact"/>
    </w:pPr>
    <w:rPr>
      <w:rFonts w:ascii="宋体" w:hAnsi="Times New Roman" w:eastAsia="宋体"/>
      <w:szCs w:val="21"/>
    </w:rPr>
  </w:style>
  <w:style w:type="paragraph" w:styleId="11">
    <w:name w:val="toc 2"/>
    <w:basedOn w:val="1"/>
    <w:next w:val="1"/>
    <w:qFormat/>
    <w:uiPriority w:val="39"/>
    <w:pPr>
      <w:ind w:left="420" w:leftChars="200"/>
    </w:pPr>
  </w:style>
  <w:style w:type="paragraph" w:styleId="12">
    <w:name w:val="Normal (Web)"/>
    <w:basedOn w:val="1"/>
    <w:semiHidden/>
    <w:unhideWhenUsed/>
    <w:uiPriority w:val="0"/>
    <w:pPr>
      <w:spacing w:before="0" w:beforeAutospacing="1" w:after="0" w:afterAutospacing="1"/>
      <w:ind w:left="0" w:right="0"/>
      <w:jc w:val="left"/>
    </w:pPr>
    <w:rPr>
      <w:kern w:val="0"/>
      <w:sz w:val="24"/>
      <w:lang w:val="en-US" w:eastAsia="zh-CN" w:bidi="ar"/>
    </w:rPr>
  </w:style>
  <w:style w:type="paragraph" w:styleId="13">
    <w:name w:val="Body Text First Indent 2"/>
    <w:basedOn w:val="5"/>
    <w:semiHidden/>
    <w:unhideWhenUsed/>
    <w:qFormat/>
    <w:uiPriority w:val="0"/>
    <w:pPr>
      <w:ind w:firstLine="42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basedOn w:val="16"/>
    <w:qFormat/>
    <w:uiPriority w:val="0"/>
    <w:rPr>
      <w:rFonts w:cs="Times New Roman"/>
    </w:rPr>
  </w:style>
  <w:style w:type="character" w:styleId="18">
    <w:name w:val="Hyperlink"/>
    <w:basedOn w:val="16"/>
    <w:qFormat/>
    <w:uiPriority w:val="99"/>
    <w:rPr>
      <w:color w:val="0000FF"/>
      <w:u w:val="single"/>
    </w:rPr>
  </w:style>
  <w:style w:type="character" w:customStyle="1" w:styleId="19">
    <w:name w:val="页眉 Char"/>
    <w:basedOn w:val="16"/>
    <w:link w:val="9"/>
    <w:qFormat/>
    <w:uiPriority w:val="99"/>
    <w:rPr>
      <w:rFonts w:ascii="等线" w:hAnsi="等线" w:eastAsia="等线"/>
      <w:kern w:val="2"/>
      <w:sz w:val="18"/>
      <w:szCs w:val="18"/>
    </w:rPr>
  </w:style>
  <w:style w:type="character" w:customStyle="1" w:styleId="20">
    <w:name w:val="页脚 Char"/>
    <w:basedOn w:val="16"/>
    <w:link w:val="8"/>
    <w:qFormat/>
    <w:uiPriority w:val="99"/>
    <w:rPr>
      <w:rFonts w:ascii="等线" w:hAnsi="等线" w:eastAsia="等线"/>
      <w:kern w:val="2"/>
      <w:sz w:val="18"/>
      <w:szCs w:val="18"/>
    </w:rPr>
  </w:style>
  <w:style w:type="paragraph" w:customStyle="1" w:styleId="21">
    <w:name w:val="标准文件_段"/>
    <w:link w:val="2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
    <w:name w:val="标准文件_段 Char"/>
    <w:link w:val="21"/>
    <w:qFormat/>
    <w:uiPriority w:val="0"/>
    <w:rPr>
      <w:rFonts w:ascii="宋体"/>
      <w:sz w:val="21"/>
    </w:rPr>
  </w:style>
  <w:style w:type="paragraph" w:customStyle="1" w:styleId="23">
    <w:name w:val="标准文件_目录标题"/>
    <w:basedOn w:val="1"/>
    <w:qFormat/>
    <w:uiPriority w:val="0"/>
    <w:pPr>
      <w:adjustRightInd w:val="0"/>
      <w:spacing w:afterLines="150"/>
      <w:jc w:val="center"/>
    </w:pPr>
    <w:rPr>
      <w:rFonts w:ascii="黑体" w:hAnsi="Times New Roman" w:eastAsia="黑体"/>
      <w:sz w:val="32"/>
      <w:szCs w:val="21"/>
    </w:rPr>
  </w:style>
  <w:style w:type="paragraph" w:customStyle="1" w:styleId="24">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5">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26">
    <w:name w:val="实施日期"/>
    <w:basedOn w:val="27"/>
    <w:qFormat/>
    <w:uiPriority w:val="0"/>
    <w:pPr>
      <w:framePr w:hSpace="0" w:xAlign="right"/>
      <w:jc w:val="right"/>
    </w:pPr>
  </w:style>
  <w:style w:type="paragraph" w:customStyle="1" w:styleId="27">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2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9">
    <w:name w:val="标准文件_二级条标题"/>
    <w:next w:val="21"/>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30">
    <w:name w:val="标准标志"/>
    <w:next w:val="1"/>
    <w:qFormat/>
    <w:uiPriority w:val="99"/>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3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32">
    <w:name w:val="标准文件_三级条标题"/>
    <w:basedOn w:val="29"/>
    <w:next w:val="21"/>
    <w:qFormat/>
    <w:uiPriority w:val="0"/>
    <w:pPr>
      <w:widowControl/>
      <w:numPr>
        <w:ilvl w:val="4"/>
      </w:numPr>
      <w:outlineLvl w:val="3"/>
    </w:pPr>
  </w:style>
  <w:style w:type="paragraph" w:customStyle="1" w:styleId="33">
    <w:name w:val="标准文件_附录标识"/>
    <w:next w:val="21"/>
    <w:qFormat/>
    <w:uiPriority w:val="0"/>
    <w:pPr>
      <w:numPr>
        <w:ilvl w:val="0"/>
        <w:numId w:val="2"/>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34">
    <w:name w:val="发布部门"/>
    <w:next w:val="21"/>
    <w:link w:val="35"/>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character" w:customStyle="1" w:styleId="35">
    <w:name w:val="发布部门 Char"/>
    <w:link w:val="34"/>
    <w:qFormat/>
    <w:uiPriority w:val="0"/>
    <w:rPr>
      <w:rFonts w:ascii="宋体"/>
      <w:b/>
      <w:w w:val="135"/>
      <w:sz w:val="36"/>
    </w:rPr>
  </w:style>
  <w:style w:type="paragraph" w:customStyle="1" w:styleId="36">
    <w:name w:val="标准文件_附录一级条标题"/>
    <w:next w:val="21"/>
    <w:qFormat/>
    <w:uiPriority w:val="0"/>
    <w:pPr>
      <w:widowControl w:val="0"/>
      <w:numPr>
        <w:ilvl w:val="1"/>
        <w:numId w:val="2"/>
      </w:numPr>
      <w:tabs>
        <w:tab w:val="left" w:pos="851"/>
      </w:tabs>
      <w:spacing w:beforeLines="50" w:afterLines="50"/>
      <w:jc w:val="both"/>
      <w:outlineLvl w:val="2"/>
    </w:pPr>
    <w:rPr>
      <w:rFonts w:ascii="黑体" w:hAnsi="Times New Roman" w:eastAsia="黑体" w:cs="Times New Roman"/>
      <w:kern w:val="21"/>
      <w:sz w:val="21"/>
      <w:lang w:val="en-US" w:eastAsia="zh-CN" w:bidi="ar-SA"/>
    </w:rPr>
  </w:style>
  <w:style w:type="paragraph" w:customStyle="1" w:styleId="37">
    <w:name w:val="标准文件_附录二级条标题"/>
    <w:basedOn w:val="36"/>
    <w:next w:val="21"/>
    <w:qFormat/>
    <w:uiPriority w:val="0"/>
    <w:pPr>
      <w:widowControl/>
      <w:numPr>
        <w:ilvl w:val="2"/>
      </w:numPr>
      <w:wordWrap w:val="0"/>
      <w:overflowPunct w:val="0"/>
      <w:autoSpaceDE w:val="0"/>
      <w:autoSpaceDN w:val="0"/>
      <w:textAlignment w:val="baseline"/>
      <w:outlineLvl w:val="3"/>
    </w:p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9">
    <w:name w:val="标准文件_章标题"/>
    <w:next w:val="21"/>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40">
    <w:name w:val="标准文件_一级条标题"/>
    <w:basedOn w:val="39"/>
    <w:next w:val="21"/>
    <w:qFormat/>
    <w:uiPriority w:val="0"/>
    <w:pPr>
      <w:numPr>
        <w:ilvl w:val="2"/>
      </w:numPr>
      <w:spacing w:beforeLines="50" w:afterLines="50"/>
      <w:outlineLvl w:val="1"/>
    </w:pPr>
  </w:style>
  <w:style w:type="paragraph" w:customStyle="1" w:styleId="41">
    <w:name w:val="标准文件_字母编号列项（一级）"/>
    <w:qFormat/>
    <w:uiPriority w:val="0"/>
    <w:pPr>
      <w:numPr>
        <w:ilvl w:val="0"/>
        <w:numId w:val="3"/>
      </w:numPr>
      <w:tabs>
        <w:tab w:val="left" w:pos="851"/>
      </w:tabs>
      <w:jc w:val="both"/>
    </w:pPr>
    <w:rPr>
      <w:rFonts w:ascii="宋体" w:hAnsi="Times New Roman" w:eastAsia="宋体" w:cs="Times New Roman"/>
      <w:sz w:val="21"/>
      <w:lang w:val="en-US" w:eastAsia="zh-CN" w:bidi="ar-SA"/>
    </w:rPr>
  </w:style>
  <w:style w:type="paragraph" w:customStyle="1" w:styleId="42">
    <w:name w:val="标准文件_前言、引言标题"/>
    <w:next w:val="1"/>
    <w:qFormat/>
    <w:uiPriority w:val="0"/>
    <w:pPr>
      <w:numPr>
        <w:ilvl w:val="0"/>
        <w:numId w:val="4"/>
      </w:numPr>
      <w:shd w:val="clear" w:color="FFFFFF" w:fill="FFFFFF"/>
      <w:spacing w:afterLines="150"/>
      <w:jc w:val="center"/>
      <w:outlineLvl w:val="0"/>
    </w:pPr>
    <w:rPr>
      <w:rFonts w:ascii="黑体" w:hAnsi="Times New Roman" w:eastAsia="黑体" w:cs="Times New Roman"/>
      <w:sz w:val="32"/>
      <w:lang w:val="en-US" w:eastAsia="zh-CN" w:bidi="ar-SA"/>
    </w:rPr>
  </w:style>
  <w:style w:type="paragraph" w:customStyle="1" w:styleId="43">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44">
    <w:name w:val="标准文件_文件名称"/>
    <w:basedOn w:val="21"/>
    <w:next w:val="21"/>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45">
    <w:name w:val="标准文件_附录表标号"/>
    <w:basedOn w:val="21"/>
    <w:next w:val="21"/>
    <w:qFormat/>
    <w:uiPriority w:val="0"/>
    <w:pPr>
      <w:numPr>
        <w:ilvl w:val="0"/>
        <w:numId w:val="5"/>
      </w:numPr>
      <w:spacing w:line="14" w:lineRule="exact"/>
      <w:ind w:firstLine="0" w:firstLineChars="0"/>
      <w:jc w:val="center"/>
    </w:pPr>
    <w:rPr>
      <w:rFonts w:eastAsia="黑体"/>
      <w:vanish/>
      <w:sz w:val="2"/>
    </w:rPr>
  </w:style>
  <w:style w:type="paragraph" w:customStyle="1" w:styleId="46">
    <w:name w:val="封面正文"/>
    <w:qFormat/>
    <w:uiPriority w:val="0"/>
    <w:pPr>
      <w:jc w:val="both"/>
    </w:pPr>
    <w:rPr>
      <w:rFonts w:ascii="Times New Roman" w:hAnsi="Times New Roman" w:eastAsia="宋体" w:cs="Times New Roman"/>
      <w:lang w:val="en-US" w:eastAsia="zh-CN" w:bidi="ar-SA"/>
    </w:rPr>
  </w:style>
  <w:style w:type="paragraph" w:customStyle="1" w:styleId="47">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48">
    <w:name w:val="标准文件_附录图标号"/>
    <w:basedOn w:val="21"/>
    <w:next w:val="21"/>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49">
    <w:name w:val="封面标准号2"/>
    <w:basedOn w:val="1"/>
    <w:qFormat/>
    <w:uiPriority w:val="0"/>
    <w:pPr>
      <w:kinsoku w:val="0"/>
      <w:overflowPunct w:val="0"/>
      <w:autoSpaceDE w:val="0"/>
      <w:autoSpaceDN w:val="0"/>
      <w:adjustRightInd w:val="0"/>
      <w:spacing w:before="357" w:line="280" w:lineRule="exact"/>
      <w:jc w:val="right"/>
      <w:textAlignment w:val="center"/>
    </w:pPr>
    <w:rPr>
      <w:rFonts w:ascii="Times New Roman" w:hAnsi="Times New Roman" w:eastAsia="宋体"/>
      <w:kern w:val="0"/>
      <w:sz w:val="28"/>
      <w:szCs w:val="20"/>
    </w:rPr>
  </w:style>
  <w:style w:type="paragraph" w:customStyle="1" w:styleId="50">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character" w:customStyle="1" w:styleId="51">
    <w:name w:val="批注框文本 Char"/>
    <w:basedOn w:val="16"/>
    <w:link w:val="7"/>
    <w:qFormat/>
    <w:uiPriority w:val="0"/>
    <w:rPr>
      <w:rFonts w:ascii="等线" w:hAnsi="等线" w:eastAsia="等线"/>
      <w:kern w:val="2"/>
      <w:sz w:val="18"/>
      <w:szCs w:val="18"/>
    </w:rPr>
  </w:style>
  <w:style w:type="character" w:customStyle="1" w:styleId="52">
    <w:name w:val="标题 1 Char"/>
    <w:basedOn w:val="16"/>
    <w:link w:val="3"/>
    <w:qFormat/>
    <w:uiPriority w:val="0"/>
    <w:rPr>
      <w:rFonts w:ascii="微软雅黑" w:hAnsi="微软雅黑" w:eastAsia="微软雅黑" w:cstheme="minorBidi"/>
      <w:kern w:val="44"/>
      <w:sz w:val="44"/>
      <w:szCs w:val="44"/>
    </w:rPr>
  </w:style>
  <w:style w:type="character" w:customStyle="1" w:styleId="53">
    <w:name w:val="正文文本 Char"/>
    <w:basedOn w:val="16"/>
    <w:link w:val="2"/>
    <w:qFormat/>
    <w:uiPriority w:val="0"/>
    <w:rPr>
      <w:rFonts w:ascii="方正仿宋_GBK" w:hAnsi="方正仿宋_GBK" w:eastAsia="方正仿宋_GBK" w:cstheme="minorBidi"/>
      <w:kern w:val="2"/>
      <w:sz w:val="32"/>
      <w:szCs w:val="22"/>
    </w:rPr>
  </w:style>
  <w:style w:type="paragraph" w:customStyle="1" w:styleId="54">
    <w:name w:val="li_正文"/>
    <w:basedOn w:val="1"/>
    <w:qFormat/>
    <w:uiPriority w:val="0"/>
    <w:pPr>
      <w:overflowPunct w:val="0"/>
      <w:topLinePunct/>
      <w:ind w:firstLine="480" w:firstLineChars="200"/>
      <w:jc w:val="left"/>
    </w:pPr>
    <w:rPr>
      <w:rFonts w:ascii="Calibri" w:hAnsi="Calibri" w:eastAsia="仿宋_GB2312"/>
      <w:sz w:val="28"/>
      <w:szCs w:val="28"/>
    </w:rPr>
  </w:style>
  <w:style w:type="paragraph" w:customStyle="1" w:styleId="55">
    <w:name w:val="修订1"/>
    <w:hidden/>
    <w:semiHidden/>
    <w:qFormat/>
    <w:uiPriority w:val="99"/>
    <w:rPr>
      <w:rFonts w:ascii="等线" w:hAnsi="等线"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23</Pages>
  <Words>9863</Words>
  <Characters>10239</Characters>
  <Lines>61</Lines>
  <Paragraphs>17</Paragraphs>
  <TotalTime>2</TotalTime>
  <ScaleCrop>false</ScaleCrop>
  <LinksUpToDate>false</LinksUpToDate>
  <CharactersWithSpaces>10437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2023-05-25T16:39:00Z</dcterms:created>
  <dc:creator>茴香馅的小包子</dc:creator>
  <cp:lastModifiedBy>陆桂玲</cp:lastModifiedBy>
  <cp:lastPrinted>2023-08-11T16:35:00Z</cp:lastPrinted>
  <dcterms:modified xsi:type="dcterms:W3CDTF">2023-08-18T01:11:03Z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4E8E67992FD44C0D82DCB5FAC5CCA78E_13</vt:lpwstr>
  </property>
</Properties>
</file>