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b/>
          <w:bCs/>
          <w:i w:val="0"/>
          <w:iCs w:val="0"/>
          <w:caps w:val="0"/>
          <w:color w:val="333333"/>
          <w:spacing w:val="0"/>
          <w:kern w:val="0"/>
          <w:sz w:val="32"/>
          <w:szCs w:val="32"/>
          <w:shd w:val="clear" w:fill="FFFFFF"/>
          <w:lang w:val="en-US" w:eastAsia="zh-CN" w:bidi="ar"/>
        </w:rPr>
        <w:t>中华人民共和国应急管理部令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shd w:val="clear" w:fill="FFFFFF"/>
          <w:lang w:val="en-US" w:eastAsia="zh-CN" w:bidi="ar"/>
        </w:rPr>
        <w:t>第1号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《安全评价检测检验机构管理办法》已经2018年6月19日应急管理部第8次部长办公会议审议通过，现予公布，自2019年5月1日起施行。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部长  王玉普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2019年3月20日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bCs/>
          <w:i w:val="0"/>
          <w:iCs w:val="0"/>
          <w:caps w:val="0"/>
          <w:color w:val="333333"/>
          <w:spacing w:val="0"/>
          <w:kern w:val="0"/>
          <w:sz w:val="32"/>
          <w:szCs w:val="32"/>
          <w:shd w:val="clear" w:fill="FFFFFF"/>
          <w:lang w:val="en-US" w:eastAsia="zh-CN" w:bidi="ar"/>
        </w:rPr>
      </w:pPr>
      <w:r>
        <w:rPr>
          <w:rFonts w:hint="eastAsia" w:ascii="宋体" w:hAnsi="宋体" w:eastAsia="宋体" w:cs="宋体"/>
          <w:b/>
          <w:bCs/>
          <w:i w:val="0"/>
          <w:iCs w:val="0"/>
          <w:caps w:val="0"/>
          <w:color w:val="333333"/>
          <w:spacing w:val="0"/>
          <w:kern w:val="0"/>
          <w:sz w:val="32"/>
          <w:szCs w:val="32"/>
          <w:shd w:val="clear" w:fill="FFFFFF"/>
          <w:lang w:val="en-US" w:eastAsia="zh-CN" w:bidi="ar"/>
        </w:rPr>
        <w:t>安全评价检测检验机构管理办法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cente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第一条 为了加强安全评价机构、安全生产检测检验机构（以下统称安全评价检测检验机构）的管理，规范安全评价、安全生产检测检验行为，依据《中华人民共和国安全生产法》《中华人民共和国行政许可法》等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第二条 在中华人民共和国领域内申请安全评价检测检验机构资质，从事法定的安全评价、检测检验服务（附件1），以及应急管理部门、煤矿安全生产监督管理部门实施安全评价检测检验机构资质认可和监督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从事海洋石油天然气开采的安全评价检测检验机构的管理办法，另行制定。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第三条 国务院应急管理部门负责指导全国安全评价检测检验机构管理工作，建立安全评价检测检验机构信息查询系统，完善安全评价、检测检验标准体系。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省级人民政府应急管理部门、煤矿安全生产监督管理部门（以下统称资质认可机关）按照各自的职责，分别负责安全评价检测检验机构资质认可和监督管理工作。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设区的市级人民政府、县级人民政府应急管理部门、煤矿安全生产监督管理部门按照各自的职责，对安全评价检测检验机构执业行为实施监督检查，并对发现的违法行为依法实施行政处罚。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第四条 安全评价检测检验机构及其从业人员应当依照法律、法规、规章、标准，遵循科学公正、独立客观、安全准确、诚实守信的原则和执业准则，独立开展安全评价和检测检验，并对其作出的安全评价和检测检验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第五条 国家支持发展安全评价、检测检验技术服务的行业组织，鼓励有关行业组织建立安全评价检测检验机构信用评定制度，健全技术服务能力评定体系，完善技术仲裁工作机制，强化行业自律，规范执业行为，维护行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sz w:val="32"/>
          <w:szCs w:val="32"/>
        </w:rPr>
      </w:pPr>
      <w:r>
        <w:rPr>
          <w:rFonts w:ascii="宋体" w:hAnsi="宋体" w:eastAsia="宋体" w:cs="宋体"/>
          <w:b/>
          <w:bCs/>
          <w:i w:val="0"/>
          <w:iCs w:val="0"/>
          <w:caps w:val="0"/>
          <w:color w:val="333333"/>
          <w:spacing w:val="0"/>
          <w:kern w:val="0"/>
          <w:sz w:val="32"/>
          <w:szCs w:val="32"/>
          <w:shd w:val="clear" w:fill="FFFFFF"/>
          <w:lang w:val="en-US" w:eastAsia="zh-CN" w:bidi="ar"/>
        </w:rPr>
        <w:t>第二章 资质认可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right="0" w:firstLine="840" w:firstLineChars="30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第六条 申请安全评价机构资质应当具备下列条件：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（一）独立法人资格，固定资产不少于八百万元；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（二）工作场所建筑面积不少于一千平方米，其中档案室不少于一百平方米，设施、设备、软件等技术支撑条件满足工作需求；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（三）承担矿山、金属冶炼、危险化学品生产和储存、烟花爆竹等业务范围安全评价的机构，其专职安全评价师不低于本办法规定的配备标准（附件1）；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（五）健全的内部管理制度和安全评价过程控制体系；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（六）法定代表人出具知悉并承担安全评价的法律责任、义务、权利和风险的承诺书；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（七）配备专职技术负责人和过程控制负责人；专职技术负责人具有一级安全评价师职业资格，并具有与所开展业</w:t>
      </w:r>
      <w:r>
        <w:rPr>
          <w:rFonts w:ascii="宋体" w:hAnsi="宋体" w:eastAsia="宋体" w:cs="宋体"/>
          <w:i w:val="0"/>
          <w:iCs w:val="0"/>
          <w:caps w:val="0"/>
          <w:color w:val="333333"/>
          <w:spacing w:val="0"/>
          <w:kern w:val="0"/>
          <w:sz w:val="32"/>
          <w:szCs w:val="32"/>
          <w:shd w:val="clear" w:fill="FFFFFF"/>
          <w:lang w:val="en-US" w:eastAsia="zh-CN" w:bidi="ar"/>
        </w:rPr>
        <w:t>务</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相匹配的高级专业技术职称，在本行业领域工作八年以上；专职过程控制负责人具有安全评价师职业资格；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（八）正常运行并可以供公众查询机构信息的网站；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（九）截至申请之日三年内无重大违法失信记录；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第七条 申请安全生产检测检验机构资质应当具备下列条件：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（一）独立法人资格，固定资产不少于一千万元；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（二）工作场所建筑面积不少于一千平方米，有与从事安全生产检测检验相适应的设施、设备和环境，检测检验设施、设备原值不少于八百万元；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（四）专业技术人员具有与承担安全生产检测检验相适应的专业技能，以及在本行业领域工作两年以上；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（五）法定代表人出具知悉并承担安全生产检测检验的法律责任、义务、权利和风险的承诺书；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（六）主持安全生产检测检验工作的负责人、技术负责人、质量负责人具有高级技术职称，在本行业领域工作八年以上；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（七）符合安全生产检测检验机构能力通用要求等相关标准和规范性文件规定的文件化管理体系；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（八）正常运行并可以供公众查询机构信息的网站；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（九）截至申请之日三年内无重大违法失信记录；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第八条 下列机构不得申请安全评价检测检验机构资质：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（一）本办法第三条规定部门所属的事业单位及其出资设立的企业法人；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（二）本办法第三条规定部门主管的社会组织及其出资设立的企业法人；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（三）本条第一项、第二项中的企业法人出资设立（含控股、参股）的企业法人。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第九条 符合本办法第六条、第七条规定条件的申请人申请安全评价检测检验机构资质的，应当将申请材料报送其注册地的资质认可机关。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申请材料清单目录由国务院应急管理部门另行规定。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第十条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第十一条 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需要专家评审的，专家评审时间不计入本条第一款规定的审查期限内，但最长不超过三个月。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资质证书的式样和编号规则由国务院应急管理部门另行规定。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安全评价检测检验机构因改制、分立或者合并等原因发生变化的，应当自发生变化之日起三十日内向原资质认可机关书面申请重新核定资质条件和业务范围。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安全评价检测检验机构取得资质一年以上，需要变更业务范围的，应当向原资质认可机关提出书面申请。资质认可机关收到申请后应当按照本办法第九条至第十一条的规定办理。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第十三条 安全评价检测检验机构资质证书有效期五年。资质证书有效期届满需要延续的，应当在有效期届满三个月前向原资质认可机关提出申请。原资质认可机关应当按照本办法第九条至第十一条的规定办理。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第十四条 安全评价检测检验机构有下列情形之一的，原资质认可机关应当注销其资质，在本部门网站予以公告，并纳入安全评价检测检验机构信息查询系统：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（一）法人资格终止；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（二）资质证书有效期届满未延续；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（三）自行申请注销；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（四）被依法撤销、撤回、吊销资质；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（五）法律、行政法规规定的应当注销资质的其他情形。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安全评价检测检验机构资质注销后无资质承继单位的，原安全评价检测检验机构及相关人员应当对注销前作出的安全评价检测检验结果继续负责。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sz w:val="32"/>
          <w:szCs w:val="32"/>
        </w:rPr>
      </w:pPr>
      <w:r>
        <w:rPr>
          <w:rFonts w:ascii="宋体" w:hAnsi="宋体" w:eastAsia="宋体" w:cs="宋体"/>
          <w:b/>
          <w:bCs/>
          <w:i w:val="0"/>
          <w:iCs w:val="0"/>
          <w:caps w:val="0"/>
          <w:color w:val="333333"/>
          <w:spacing w:val="0"/>
          <w:kern w:val="0"/>
          <w:sz w:val="32"/>
          <w:szCs w:val="32"/>
          <w:shd w:val="clear" w:fill="FFFFFF"/>
          <w:lang w:val="en-US" w:eastAsia="zh-CN" w:bidi="ar"/>
        </w:rPr>
        <w:t>第三章 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第十五条 生产经营单位可以自主选择具备本办法规定资质的安全评价检测检验机构，接受其资质认可范围内的安全评价、检测检验服务。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第十六条生产经营单位委托安全评价检测检验机构开展技术服务时，应当签订委托技术服务合同，明确服务对象、范围、权利、义务和责任。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生产经营单位委托安全评价检测检验机构为其提供安全生产技术服务的，保证安全生产的责任仍由本单位负责。应急管理部门、煤矿安全生产监督管理部门以安全评价报告、检测检验报告为依据，作出相关行政许可、行政处罚决定的，应当对其决定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第十七条 安全评价检测检验机构应当建立信息公开制度，加强内部管理，严格自我约束。专职技术负责人和过程控制负责人应当按照法规标准的规定，加强安全评价、检测检验活动的管理。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安全评价项目组组长应当具有与业务相关的二级以上安全评价师资格，并在本行业领域工作三年以上。项目组其他组成人员应当符合安全评价项目专职安全评价师专业能力配备标准。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第十八条 安全评价检测检验机构开展技术服务时，应当如实记录过程控制、现场勘验和检测检验的情况，并与现场图像影像等证明资料一并及时归档。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安全评价检测检验机构应当按照有关规定在网上公开安全评价报告、安全生产检测检验报告相关信息及现场勘验图像影像。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第十九条 安全评价检测检验机构应当在开展现场技术服务前七个工作日内，书面告知（附件4）项目实施地资质认可机关，接受资质认可机关及其下级部门的监督抽查。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第二十条 生产经营单位应当对本单位安全评价、检测检验过程进行监督，并对本单位所提供资料、安全评价和检测检验对象的真实性、可靠性负责，承担有关法律责任。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生产经营单位对安全评价检测检验机构提出的事故预防、隐患整改意见，应当及时落实。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第二十一条 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审批部门在审批过程中委托开展的安全评价检测检验技术服务，服务费用一律由审批部门支付并纳入部门预算，对审批对象免费。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第二十二条 安全评价检测检验机构及其从业人员不得有下列行为：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（一）违反法规标准的规定开展安全评价、检测检验的；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（二）不再具备资质条件或者资质过期从事安全评价、检测检验的；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（三）超出资质认可业务范围，从事法定的安全评价、检测检验的；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（四）出租、出借安全评价检测检验资质证书的；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（五）出具虚假或者重大疏漏的安全评价、检测检验报告的；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（六）违反有关法规标准规定，更改或者简化安全评价、检测检验程序和相关内容的；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（七）专职安全评价师、专业技术人员同时在两个以上安全评价检测检验机构从业的；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（八）安全评价项目组组长及负责勘验人员不到现场实际地点开展勘验等有关工作的；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（九）承担现场检测检验的人员不到现场实际地点开展设备检测检验等有关工作的；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（十）冒用他人名义或者允许他人冒用本人名义在安全评价、检测检验报告和原始记录中签名的；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（十一）不接受资质认可机关及其下级部门监督抽查的。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本办法所称虚假报告，是指安全评价报告、安全生产检测检验报告内容与当时实际情况严重不符，报告结论定性严重偏离客观实际。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sz w:val="32"/>
          <w:szCs w:val="32"/>
        </w:rPr>
      </w:pPr>
      <w:r>
        <w:rPr>
          <w:rFonts w:ascii="宋体" w:hAnsi="宋体" w:eastAsia="宋体" w:cs="宋体"/>
          <w:b/>
          <w:bCs/>
          <w:i w:val="0"/>
          <w:iCs w:val="0"/>
          <w:caps w:val="0"/>
          <w:color w:val="333333"/>
          <w:spacing w:val="0"/>
          <w:kern w:val="0"/>
          <w:sz w:val="32"/>
          <w:szCs w:val="32"/>
          <w:shd w:val="clear" w:fill="FFFFFF"/>
          <w:lang w:val="en-US" w:eastAsia="zh-CN" w:bidi="ar"/>
        </w:rPr>
        <w:t>第四章 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第二十三条 资质认可机关应当建立健全安全评价检测检验机构资质认可、监督检查、属地管理的相关制度和程序，加强事中事后监管，并向社会公开监督检查情况和处理结果。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国务院应急管理部门可以对资质认可机关开展资质认可等工作情况实施综合评估，发现涉及重大生产安全事故、存在违法违规认可等问题的，可以采取约谈、通报，撤销其资质认可决定，以及暂停其资质认可权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第二十四条资质认可机关应当将其认可的安全评价检测检验机构纳入年度安全生产监督检查计划范围。按照国务院有关“双随机、一公开”的规定实施监督检查，并确保每三年至少覆盖一次。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安全评价检测检验机构从事跨区域技术服务的，项目实施地资质认可机关应当及时核查其资质有效性、认可范围等信息，并对其技术服务实施抽查。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资质认可机关及其下级部门应当对本行政区域内登记注册的安全评价检测检验机构资质条件保持情况、接受行政处罚和投诉举报等情况进行重点监督检查。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第二十五条 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吊销、撤销安全评价检测检验机构资质的，由原资质认可机关决定。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对安全评价检测检验机构作出行政处罚等决定，决定机关应当将有关情况及时纳入安全评价检测检验机构信息查询系统。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第二十六条 负有安全生产监督管理职责的部门及其工作人员不得干预安全评价检测检验机构正常活动。除政府采购的技术服务外，不得要求生产经营单位接受指定的安全评价检测检验机构的技术服务。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没有法律法规依据或者国务院规定，不得以备案、登记、年检、换证、要求设立分支机构等形式，设置或者变相设置安全评价检测检验机构准入障碍。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32"/>
          <w:szCs w:val="32"/>
          <w:shd w:val="clear" w:fill="FFFFFF"/>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第二十七条 申请人隐瞒有关情况或者提供虚假材料申请资质（包括资质延续、资质变更、增加业务范围等）的，资质认可机关不予受理或者不予行政许可，并给予警告。该申请人在一年内不得再次申请。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第二十八条 申请人以欺骗、贿赂等不正当手段取得资质（包括资质延续、资质变更、增加业务范围等）的，应当予以撤销。该申请人在三年内不得再次申请；构成犯罪的，依法追究刑事责任。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第二十九条 未取得资质的机构及其有关人员擅自从事安全评价、检测检验服务的，责令立即停止违法行为，依照下列规定给予处罚：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（一）机构有违法所得的，没收其违法所得，并处违法所得一倍以上三倍以下的罚款，但最高不得超过三万元；没有违法所得的，处五千元以上一万元以下的罚款；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（二）有关人员处五千元以上一万元以下的罚款。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对有前款违法行为的机构及其人员，由资质认可机关记入有关机构和人员的信用记录，并依照有关规定予以公告。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第三十条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（一）未依法与委托方签订技术服务合同的；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（二）违反法规标准规定更改或者简化安全评价、检测检验程序和相关内容的；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（三）未按规定公开安全评价报告、安全生产检测检验报告相关信息及现场勘验图像影像资料的；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（四）未在开展现场技术服务前七个工作日内，书面告知项目实施地资质认可机关的；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（五）机构名称、注册地址、实验室条件、法定代表人、专职技术负责人、授权签字人发生变化之日起三十日内未向原资质认可机关提出变更申请的；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（六）未按照有关法规标准的强制性规定从事安全评价、检测检验活动的；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（七）出租、出借安全评价检测检验资质证书的；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（八）安全评价项目组组长及负责勘验人员不到现场实际地点开展勘验等有关工作的；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（九）承担现场检测检验的人员不到现场实际地点开展设备检测检验等有关工作的；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（十）安全评价报告存在法规标准引用错误、关键危险有害因素漏项、重大危险源辨识错误、对策措施建议与存在问题严重不符等重大疏漏，但尚未造成重大损失的；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（十一）安全生产检测检验报告存在法规标准引用错误、关键项目漏检、结论不明确等重大疏漏，但尚未造成重大损失的。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第三十一条 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对有前款违法行为的机构，由资质认可机关吊销其相应资质，向社会公告，按照国家有关规定对相关机构及其责任人员实行行业禁入，纳入不良记录“黑名单”管理，以及安全评价检测检验机构信息查询系统。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b/>
          <w:bCs/>
          <w:i w:val="0"/>
          <w:iCs w:val="0"/>
          <w:caps w:val="0"/>
          <w:color w:val="333333"/>
          <w:spacing w:val="0"/>
          <w:sz w:val="32"/>
          <w:szCs w:val="32"/>
        </w:rPr>
      </w:pPr>
      <w:r>
        <w:rPr>
          <w:rFonts w:ascii="宋体" w:hAnsi="宋体" w:eastAsia="宋体" w:cs="宋体"/>
          <w:b/>
          <w:bCs/>
          <w:i w:val="0"/>
          <w:iCs w:val="0"/>
          <w:caps w:val="0"/>
          <w:color w:val="333333"/>
          <w:spacing w:val="0"/>
          <w:kern w:val="0"/>
          <w:sz w:val="32"/>
          <w:szCs w:val="32"/>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iCs w:val="0"/>
          <w:caps w:val="0"/>
          <w:color w:val="333333"/>
          <w:spacing w:val="0"/>
          <w:kern w:val="0"/>
          <w:sz w:val="32"/>
          <w:szCs w:val="32"/>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第三十二条 本办法自2019年5月1日起施行。原国家安全生产监督管理总局2007年1月31日公布、2015年5月29日修改的《安全生产检测检验机构管理规定》（原国家安全生产监督管理总局令第12号），2009年7月1日公布、2013年8月29日、2015年5月29日修改的《安全评价机构管理规定》（原国家安全生产监督管理总局令第22号）同时废止。</w:t>
      </w:r>
    </w:p>
    <w:p>
      <w:pPr>
        <w:rPr>
          <w:rFonts w:ascii="宋体" w:hAnsi="宋体" w:eastAsia="宋体" w:cs="宋体"/>
          <w:i w:val="0"/>
          <w:iCs w:val="0"/>
          <w:caps w:val="0"/>
          <w:color w:val="333333"/>
          <w:spacing w:val="0"/>
          <w:kern w:val="0"/>
          <w:sz w:val="32"/>
          <w:szCs w:val="32"/>
          <w:shd w:val="clear" w:fill="FFFFFF"/>
          <w:lang w:val="en-US" w:eastAsia="zh-CN" w:bidi="ar"/>
        </w:rPr>
      </w:pPr>
      <w:r>
        <w:rPr>
          <w:rFonts w:ascii="宋体" w:hAnsi="宋体" w:eastAsia="宋体" w:cs="宋体"/>
          <w:i w:val="0"/>
          <w:iCs w:val="0"/>
          <w:caps w:val="0"/>
          <w:color w:val="333333"/>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left"/>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ascii="宋体" w:hAnsi="宋体" w:eastAsia="宋体" w:cs="宋体"/>
          <w:i w:val="0"/>
          <w:iCs w:val="0"/>
          <w:caps w:val="0"/>
          <w:color w:val="333333"/>
          <w:spacing w:val="0"/>
          <w:sz w:val="32"/>
          <w:szCs w:val="32"/>
        </w:rPr>
      </w:pPr>
      <w:r>
        <w:rPr>
          <w:rFonts w:ascii="宋体" w:hAnsi="宋体" w:eastAsia="宋体" w:cs="宋体"/>
          <w:b/>
          <w:bCs/>
          <w:i w:val="0"/>
          <w:iCs w:val="0"/>
          <w:caps w:val="0"/>
          <w:color w:val="333333"/>
          <w:spacing w:val="0"/>
          <w:kern w:val="0"/>
          <w:sz w:val="32"/>
          <w:szCs w:val="32"/>
          <w:shd w:val="clear" w:fill="FFFFFF"/>
          <w:lang w:val="en-US" w:eastAsia="zh-CN" w:bidi="ar"/>
        </w:rPr>
        <w:t>安全评价机构业务范围与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ascii="宋体" w:hAnsi="宋体" w:eastAsia="宋体" w:cs="宋体"/>
          <w:b/>
          <w:bCs/>
          <w:i w:val="0"/>
          <w:iCs w:val="0"/>
          <w:caps w:val="0"/>
          <w:color w:val="333333"/>
          <w:spacing w:val="0"/>
          <w:kern w:val="0"/>
          <w:sz w:val="32"/>
          <w:szCs w:val="32"/>
          <w:shd w:val="clear" w:fill="FFFFFF"/>
          <w:lang w:val="en-US" w:eastAsia="zh-CN" w:bidi="ar"/>
        </w:rPr>
      </w:pPr>
      <w:r>
        <w:rPr>
          <w:rFonts w:ascii="宋体" w:hAnsi="宋体" w:eastAsia="宋体" w:cs="宋体"/>
          <w:b/>
          <w:bCs/>
          <w:i w:val="0"/>
          <w:iCs w:val="0"/>
          <w:caps w:val="0"/>
          <w:color w:val="333333"/>
          <w:spacing w:val="0"/>
          <w:kern w:val="0"/>
          <w:sz w:val="32"/>
          <w:szCs w:val="32"/>
          <w:shd w:val="clear" w:fill="FFFFFF"/>
          <w:lang w:val="en-US" w:eastAsia="zh-CN" w:bidi="ar"/>
        </w:rPr>
        <w:t>专职安全评价师专业能力配备标准</w:t>
      </w:r>
    </w:p>
    <w:tbl>
      <w:tblPr>
        <w:tblStyle w:val="2"/>
        <w:tblW w:w="94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77"/>
        <w:gridCol w:w="7026"/>
        <w:gridCol w:w="25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2177" w:type="dxa"/>
            <w:vMerge w:val="restart"/>
            <w:tcBorders>
              <w:top w:val="single" w:color="auto" w:sz="8" w:space="0"/>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业务范围</w:t>
            </w:r>
          </w:p>
        </w:tc>
        <w:tc>
          <w:tcPr>
            <w:tcW w:w="7026" w:type="dxa"/>
            <w:vMerge w:val="restart"/>
            <w:tcBorders>
              <w:top w:val="single" w:color="auto" w:sz="8" w:space="0"/>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both"/>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专职安全评价师专业能力配备标准      </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51" w:hRule="atLeast"/>
          <w:jc w:val="center"/>
        </w:trPr>
        <w:tc>
          <w:tcPr>
            <w:tcW w:w="2177" w:type="dxa"/>
            <w:vMerge w:val="continue"/>
            <w:tcBorders>
              <w:top w:val="single" w:color="auto" w:sz="8" w:space="0"/>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tc>
        <w:tc>
          <w:tcPr>
            <w:tcW w:w="7026" w:type="dxa"/>
            <w:vMerge w:val="continue"/>
            <w:tcBorders>
              <w:top w:val="single" w:color="auto" w:sz="8" w:space="0"/>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07"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煤炭开采业</w:t>
            </w:r>
          </w:p>
        </w:tc>
        <w:tc>
          <w:tcPr>
            <w:tcW w:w="7026" w:type="dxa"/>
            <w:tcBorders>
              <w:top w:val="nil"/>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安全、机械、电气、采矿、通风、矿建、地质各1名及以上。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96"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金属、非金属矿及其他矿采选业</w:t>
            </w:r>
          </w:p>
        </w:tc>
        <w:tc>
          <w:tcPr>
            <w:tcW w:w="7026" w:type="dxa"/>
            <w:tcBorders>
              <w:top w:val="nil"/>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安全、机械、电气、采矿、通风、地质、水工结构各1名及以上。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30"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陆地石油和天然气开采业</w:t>
            </w:r>
          </w:p>
        </w:tc>
        <w:tc>
          <w:tcPr>
            <w:tcW w:w="7026" w:type="dxa"/>
            <w:tcBorders>
              <w:top w:val="nil"/>
              <w:left w:val="nil"/>
              <w:bottom w:val="single" w:color="auto" w:sz="8" w:space="0"/>
              <w:right w:val="single" w:color="auto" w:sz="8" w:space="0"/>
            </w:tcBorders>
            <w:shd w:val="clear" w:color="auto" w:fill="auto"/>
            <w:noWrap/>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安全、机械、电气、采油、储运各1名及以上。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30"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陆上油气管道运输业</w:t>
            </w:r>
          </w:p>
        </w:tc>
        <w:tc>
          <w:tcPr>
            <w:tcW w:w="7026" w:type="dxa"/>
            <w:tcBorders>
              <w:top w:val="nil"/>
              <w:left w:val="nil"/>
              <w:bottom w:val="single" w:color="auto" w:sz="8" w:space="0"/>
              <w:right w:val="single" w:color="auto" w:sz="8" w:space="0"/>
            </w:tcBorders>
            <w:shd w:val="clear" w:color="auto" w:fill="auto"/>
            <w:noWrap/>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油气储运2名及以上，设备、仪表、电气、防腐、安全各1名及以上。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30"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石油加工业，化学原料、化学品及医药制造业</w:t>
            </w:r>
          </w:p>
        </w:tc>
        <w:tc>
          <w:tcPr>
            <w:tcW w:w="7026" w:type="dxa"/>
            <w:tcBorders>
              <w:top w:val="nil"/>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化工工艺、化工机械、电气、安全各2名及以上，自动化1名及以上。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31"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烟花爆竹制造业</w:t>
            </w:r>
          </w:p>
        </w:tc>
        <w:tc>
          <w:tcPr>
            <w:tcW w:w="7026" w:type="dxa"/>
            <w:tcBorders>
              <w:top w:val="nil"/>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火炸药（爆炸技术）、机械、电气、安全各1名及以上。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1" w:hRule="atLeast"/>
          <w:jc w:val="center"/>
        </w:trPr>
        <w:tc>
          <w:tcPr>
            <w:tcW w:w="2177" w:type="dxa"/>
            <w:tcBorders>
              <w:top w:val="nil"/>
              <w:left w:val="single" w:color="auto" w:sz="8" w:space="0"/>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金属冶炼</w:t>
            </w:r>
          </w:p>
        </w:tc>
        <w:tc>
          <w:tcPr>
            <w:tcW w:w="7026" w:type="dxa"/>
            <w:tcBorders>
              <w:top w:val="nil"/>
              <w:left w:val="nil"/>
              <w:bottom w:val="single" w:color="auto" w:sz="8" w:space="0"/>
              <w:right w:val="single" w:color="auto" w:sz="8" w:space="0"/>
            </w:tcBorders>
            <w:shd w:val="clear" w:color="auto" w:fill="auto"/>
            <w:tcMar>
              <w:top w:w="11" w:type="dxa"/>
              <w:left w:w="11" w:type="dxa"/>
              <w:right w:w="11"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lang w:val="en-US" w:eastAsia="zh-CN" w:bidi="ar"/>
              </w:rPr>
              <w:t>安全、机械、电气、冶金、有色金属各1名及以上。</w:t>
            </w:r>
          </w:p>
        </w:tc>
        <w:tc>
          <w:tcPr>
            <w:tcW w:w="2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仿宋" w:hAnsi="仿宋" w:eastAsia="仿宋" w:cs="仿宋"/>
          <w:color w:val="333333"/>
          <w:kern w:val="0"/>
          <w:sz w:val="22"/>
          <w:szCs w:val="22"/>
          <w:lang w:val="en-US" w:eastAsia="zh-CN" w:bidi="ar"/>
        </w:rPr>
      </w:pPr>
      <w:r>
        <w:rPr>
          <w:rFonts w:hint="eastAsia" w:ascii="仿宋" w:hAnsi="仿宋" w:eastAsia="仿宋" w:cs="仿宋"/>
          <w:color w:val="333333"/>
          <w:kern w:val="0"/>
          <w:sz w:val="22"/>
          <w:szCs w:val="22"/>
          <w:lang w:val="en-US" w:eastAsia="zh-CN" w:bidi="ar"/>
        </w:rPr>
        <w:t>备注：1.安全评价师专业能力与学科基础专业对照表另行制定。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660" w:firstLineChars="300"/>
        <w:jc w:val="left"/>
        <w:textAlignment w:val="auto"/>
        <w:rPr>
          <w:rFonts w:hint="eastAsia" w:ascii="仿宋" w:hAnsi="仿宋" w:eastAsia="仿宋" w:cs="仿宋"/>
          <w:color w:val="333333"/>
          <w:kern w:val="0"/>
          <w:sz w:val="22"/>
          <w:szCs w:val="22"/>
          <w:lang w:val="en-US" w:eastAsia="zh-CN" w:bidi="ar"/>
        </w:rPr>
      </w:pPr>
      <w:r>
        <w:rPr>
          <w:rFonts w:hint="eastAsia" w:ascii="仿宋" w:hAnsi="仿宋" w:eastAsia="仿宋" w:cs="仿宋"/>
          <w:i w:val="0"/>
          <w:iCs w:val="0"/>
          <w:caps w:val="0"/>
          <w:color w:val="333333"/>
          <w:spacing w:val="0"/>
          <w:kern w:val="0"/>
          <w:sz w:val="22"/>
          <w:szCs w:val="22"/>
          <w:shd w:val="clear" w:fill="FFFFFF"/>
          <w:lang w:val="en-US" w:eastAsia="zh-CN" w:bidi="ar"/>
        </w:rPr>
        <w:t>2.安全生产检测检验资质认可业务范围以矿山井下特种设备目录为准。</w:t>
      </w:r>
    </w:p>
    <w:p>
      <w:pPr>
        <w:rPr>
          <w:rFonts w:ascii="宋体" w:hAnsi="宋体" w:eastAsia="宋体" w:cs="宋体"/>
          <w:i w:val="0"/>
          <w:iCs w:val="0"/>
          <w:caps w:val="0"/>
          <w:color w:val="333333"/>
          <w:spacing w:val="0"/>
          <w:kern w:val="0"/>
          <w:sz w:val="32"/>
          <w:szCs w:val="32"/>
          <w:shd w:val="clear" w:fill="FFFFFF"/>
          <w:lang w:val="en-US" w:eastAsia="zh-CN" w:bidi="ar"/>
        </w:rPr>
      </w:pPr>
      <w:r>
        <w:rPr>
          <w:rFonts w:ascii="宋体" w:hAnsi="宋体" w:eastAsia="宋体" w:cs="宋体"/>
          <w:i w:val="0"/>
          <w:iCs w:val="0"/>
          <w:caps w:val="0"/>
          <w:color w:val="333333"/>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jc w:val="left"/>
        <w:textAlignment w:val="auto"/>
        <w:rPr>
          <w:rFonts w:ascii="宋体" w:hAnsi="宋体" w:eastAsia="宋体" w:cs="宋体"/>
          <w:i w:val="0"/>
          <w:iCs w:val="0"/>
          <w:caps w:val="0"/>
          <w:color w:val="333333"/>
          <w:spacing w:val="0"/>
          <w:kern w:val="0"/>
          <w:sz w:val="32"/>
          <w:szCs w:val="32"/>
          <w:shd w:val="clear" w:fill="FFFFFF"/>
          <w:lang w:val="en-US" w:eastAsia="zh-CN" w:bidi="ar"/>
        </w:rPr>
      </w:pPr>
      <w:r>
        <w:rPr>
          <w:rFonts w:ascii="宋体" w:hAnsi="宋体" w:eastAsia="宋体" w:cs="宋体"/>
          <w:i w:val="0"/>
          <w:iCs w:val="0"/>
          <w:caps w:val="0"/>
          <w:color w:val="333333"/>
          <w:spacing w:val="0"/>
          <w:kern w:val="0"/>
          <w:sz w:val="32"/>
          <w:szCs w:val="32"/>
          <w:shd w:val="clear"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center"/>
        <w:textAlignment w:val="auto"/>
        <w:rPr>
          <w:rFonts w:ascii="宋体" w:hAnsi="宋体" w:eastAsia="宋体" w:cs="宋体"/>
          <w:i w:val="0"/>
          <w:iCs w:val="0"/>
          <w:caps w:val="0"/>
          <w:color w:val="333333"/>
          <w:spacing w:val="0"/>
          <w:sz w:val="27"/>
          <w:szCs w:val="27"/>
        </w:rPr>
      </w:pPr>
      <w:r>
        <w:rPr>
          <w:rFonts w:hint="eastAsia" w:ascii="宋体" w:hAnsi="宋体" w:eastAsia="宋体" w:cs="宋体"/>
          <w:b/>
          <w:bCs/>
          <w:i w:val="0"/>
          <w:iCs w:val="0"/>
          <w:caps w:val="0"/>
          <w:color w:val="333333"/>
          <w:spacing w:val="0"/>
          <w:kern w:val="0"/>
          <w:sz w:val="32"/>
          <w:szCs w:val="32"/>
          <w:shd w:val="clear" w:fill="FFFFFF"/>
          <w:lang w:val="en-US" w:eastAsia="zh-CN" w:bidi="ar"/>
        </w:rPr>
        <w:t>安全评级机构信息公开表</w:t>
      </w:r>
      <w:r>
        <w:rPr>
          <w:rFonts w:ascii="宋体" w:hAnsi="宋体" w:eastAsia="宋体" w:cs="宋体"/>
          <w:i w:val="0"/>
          <w:iCs w:val="0"/>
          <w:caps w:val="0"/>
          <w:color w:val="333333"/>
          <w:spacing w:val="0"/>
          <w:kern w:val="0"/>
          <w:sz w:val="32"/>
          <w:szCs w:val="32"/>
          <w:shd w:val="clear" w:fill="FFFFFF"/>
          <w:lang w:val="en-US" w:eastAsia="zh-CN" w:bidi="ar"/>
        </w:rPr>
        <w:t>（样式）</w:t>
      </w:r>
    </w:p>
    <w:tbl>
      <w:tblPr>
        <w:tblStyle w:val="2"/>
        <w:tblW w:w="9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81"/>
        <w:gridCol w:w="594"/>
        <w:gridCol w:w="691"/>
        <w:gridCol w:w="400"/>
        <w:gridCol w:w="1186"/>
        <w:gridCol w:w="788"/>
        <w:gridCol w:w="697"/>
        <w:gridCol w:w="487"/>
        <w:gridCol w:w="402"/>
        <w:gridCol w:w="691"/>
        <w:gridCol w:w="194"/>
        <w:gridCol w:w="600"/>
        <w:gridCol w:w="392"/>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897" w:type="pct"/>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仿宋_GB2312" w:hAnsi="宋体" w:eastAsia="仿宋_GB2312" w:cs="仿宋_GB2312"/>
                <w:i w:val="0"/>
                <w:iCs w:val="0"/>
                <w:caps w:val="0"/>
                <w:color w:val="333333"/>
                <w:spacing w:val="0"/>
                <w:kern w:val="0"/>
                <w:sz w:val="28"/>
                <w:szCs w:val="28"/>
                <w:lang w:val="en-US" w:eastAsia="zh-CN" w:bidi="ar"/>
              </w:rPr>
              <w:t>机构名称</w:t>
            </w:r>
          </w:p>
        </w:tc>
        <w:tc>
          <w:tcPr>
            <w:tcW w:w="4102" w:type="pct"/>
            <w:gridSpan w:val="1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2047"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 w:hAnsi="仿宋" w:eastAsia="仿宋" w:cs="仿宋"/>
                <w:color w:val="333333"/>
                <w:kern w:val="0"/>
                <w:sz w:val="28"/>
                <w:szCs w:val="28"/>
                <w:lang w:val="en-US" w:eastAsia="zh-CN" w:bidi="ar"/>
              </w:rPr>
              <w:t>统一社会信用代码/注册号</w:t>
            </w:r>
          </w:p>
        </w:tc>
        <w:tc>
          <w:tcPr>
            <w:tcW w:w="2952" w:type="pct"/>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办公地址</w:t>
            </w:r>
          </w:p>
        </w:tc>
        <w:tc>
          <w:tcPr>
            <w:tcW w:w="1798"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8"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邮政编码</w:t>
            </w:r>
          </w:p>
        </w:tc>
        <w:tc>
          <w:tcPr>
            <w:tcW w:w="805"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机构信息公开网址</w:t>
            </w:r>
          </w:p>
        </w:tc>
        <w:tc>
          <w:tcPr>
            <w:tcW w:w="13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法定代表人</w:t>
            </w:r>
          </w:p>
        </w:tc>
        <w:tc>
          <w:tcPr>
            <w:tcW w:w="1003"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联系人</w:t>
            </w:r>
          </w:p>
        </w:tc>
        <w:tc>
          <w:tcPr>
            <w:tcW w:w="13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联系电话</w:t>
            </w:r>
          </w:p>
        </w:tc>
        <w:tc>
          <w:tcPr>
            <w:tcW w:w="1003"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专职技术负责人</w:t>
            </w:r>
          </w:p>
        </w:tc>
        <w:tc>
          <w:tcPr>
            <w:tcW w:w="13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过程控制负责人</w:t>
            </w:r>
          </w:p>
        </w:tc>
        <w:tc>
          <w:tcPr>
            <w:tcW w:w="1003"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资质证书编号</w:t>
            </w:r>
          </w:p>
        </w:tc>
        <w:tc>
          <w:tcPr>
            <w:tcW w:w="13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798"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发证日期</w:t>
            </w:r>
          </w:p>
        </w:tc>
        <w:tc>
          <w:tcPr>
            <w:tcW w:w="1404"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1448" w:type="pct"/>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资质证书批准部门</w:t>
            </w:r>
          </w:p>
        </w:tc>
        <w:tc>
          <w:tcPr>
            <w:tcW w:w="13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798"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有效日期</w:t>
            </w:r>
          </w:p>
        </w:tc>
        <w:tc>
          <w:tcPr>
            <w:tcW w:w="1404"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00" w:type="pct"/>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业务范围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4" w:hRule="atLeast"/>
        </w:trPr>
        <w:tc>
          <w:tcPr>
            <w:tcW w:w="5000" w:type="pct"/>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both"/>
              <w:textAlignment w:val="auto"/>
              <w:rPr>
                <w:rFonts w:ascii="宋体" w:hAnsi="宋体" w:eastAsia="宋体" w:cs="宋体"/>
                <w:color w:val="333333"/>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5000" w:type="pct"/>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本机构的安全评价师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597"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姓 名</w:t>
            </w:r>
          </w:p>
        </w:tc>
        <w:tc>
          <w:tcPr>
            <w:tcW w:w="6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专 业</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证书号码</w:t>
            </w:r>
          </w:p>
        </w:tc>
        <w:tc>
          <w:tcPr>
            <w:tcW w:w="598"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姓 名</w:t>
            </w:r>
          </w:p>
        </w:tc>
        <w:tc>
          <w:tcPr>
            <w:tcW w:w="650"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专 业</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证书号码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597" w:type="pc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98"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50"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597" w:type="pc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98"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50"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5000" w:type="pct"/>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机构违法受处罚信息（初次申请不填写）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1246"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违法事实</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处罚决定</w:t>
            </w:r>
          </w:p>
        </w:tc>
        <w:tc>
          <w:tcPr>
            <w:tcW w:w="1248"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处罚时间</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执法机关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1246"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48"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5" w:hRule="atLeast"/>
        </w:trPr>
        <w:tc>
          <w:tcPr>
            <w:tcW w:w="1246"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48"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06"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jc w:val="left"/>
        <w:textAlignment w:val="auto"/>
        <w:rPr>
          <w:rFonts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附件</w:t>
      </w:r>
      <w:r>
        <w:rPr>
          <w:rFonts w:ascii="宋体" w:hAnsi="宋体" w:eastAsia="宋体" w:cs="宋体"/>
          <w:i w:val="0"/>
          <w:iCs w:val="0"/>
          <w:caps w:val="0"/>
          <w:color w:val="333333"/>
          <w:spacing w:val="0"/>
          <w:kern w:val="0"/>
          <w:sz w:val="32"/>
          <w:szCs w:val="32"/>
          <w:shd w:val="clear" w:fill="FFFFFF"/>
          <w:lang w:val="en-US" w:eastAsia="zh-CN" w:bidi="ar"/>
        </w:rPr>
        <w:t>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32"/>
          <w:szCs w:val="32"/>
          <w:shd w:val="clear" w:fill="FFFFFF"/>
          <w:lang w:val="en-US" w:eastAsia="zh-CN" w:bidi="ar"/>
        </w:rPr>
        <w:t>安全生产检测检验机构信息公开表</w:t>
      </w:r>
      <w:r>
        <w:rPr>
          <w:rFonts w:ascii="宋体" w:hAnsi="宋体" w:eastAsia="宋体" w:cs="宋体"/>
          <w:i w:val="0"/>
          <w:iCs w:val="0"/>
          <w:caps w:val="0"/>
          <w:color w:val="333333"/>
          <w:spacing w:val="0"/>
          <w:kern w:val="0"/>
          <w:sz w:val="32"/>
          <w:szCs w:val="32"/>
          <w:shd w:val="clear" w:fill="FFFFFF"/>
          <w:lang w:val="en-US" w:eastAsia="zh-CN" w:bidi="ar"/>
        </w:rPr>
        <w:t>（样式）</w:t>
      </w:r>
    </w:p>
    <w:tbl>
      <w:tblPr>
        <w:tblStyle w:val="2"/>
        <w:tblW w:w="9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5"/>
        <w:gridCol w:w="857"/>
        <w:gridCol w:w="668"/>
        <w:gridCol w:w="282"/>
        <w:gridCol w:w="194"/>
        <w:gridCol w:w="758"/>
        <w:gridCol w:w="194"/>
        <w:gridCol w:w="952"/>
        <w:gridCol w:w="565"/>
        <w:gridCol w:w="765"/>
        <w:gridCol w:w="1045"/>
        <w:gridCol w:w="1142"/>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899" w:type="pct"/>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机构名称</w:t>
            </w:r>
          </w:p>
        </w:tc>
        <w:tc>
          <w:tcPr>
            <w:tcW w:w="4100" w:type="pct"/>
            <w:gridSpan w:val="11"/>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2000" w:type="pct"/>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统一社会信用代码/注册号</w:t>
            </w:r>
          </w:p>
        </w:tc>
        <w:tc>
          <w:tcPr>
            <w:tcW w:w="2999" w:type="pct"/>
            <w:gridSpan w:val="6"/>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通信地址</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424"/>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邮政编码</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实验室地址</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邮政编码</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机构信息公开网址</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法定代表人</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机构联系人</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联系电话</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主持检测检验工作负责人</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技术负责人</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资质证书编号</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发证日期</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1500" w:type="pct"/>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107"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r>
              <w:rPr>
                <w:rFonts w:hint="default" w:ascii="仿宋_GB2312" w:hAnsi="宋体" w:eastAsia="仿宋_GB2312" w:cs="仿宋_GB2312"/>
                <w:i w:val="0"/>
                <w:iCs w:val="0"/>
                <w:caps w:val="0"/>
                <w:color w:val="333333"/>
                <w:spacing w:val="0"/>
                <w:kern w:val="0"/>
                <w:sz w:val="28"/>
                <w:szCs w:val="28"/>
                <w:lang w:val="en-US" w:eastAsia="zh-CN" w:bidi="ar"/>
              </w:rPr>
              <w:t>资质证书批准部门</w:t>
            </w:r>
          </w:p>
        </w:tc>
        <w:tc>
          <w:tcPr>
            <w:tcW w:w="16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1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有效日期</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000" w:type="pct"/>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批准的业务范围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序号</w:t>
            </w:r>
          </w:p>
        </w:tc>
        <w:tc>
          <w:tcPr>
            <w:tcW w:w="949" w:type="pct"/>
            <w:gridSpan w:val="3"/>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被检对象</w:t>
            </w:r>
          </w:p>
        </w:tc>
        <w:tc>
          <w:tcPr>
            <w:tcW w:w="139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项目/参数</w:t>
            </w:r>
          </w:p>
        </w:tc>
        <w:tc>
          <w:tcPr>
            <w:tcW w:w="949" w:type="pct"/>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依据标准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编号及名称</w:t>
            </w:r>
          </w:p>
        </w:tc>
        <w:tc>
          <w:tcPr>
            <w:tcW w:w="600" w:type="pct"/>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限制范围</w:t>
            </w:r>
          </w:p>
        </w:tc>
        <w:tc>
          <w:tcPr>
            <w:tcW w:w="650" w:type="pct"/>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Helvetica" w:hAnsi="Helvetica" w:eastAsia="Helvetica" w:cs="Helvetica"/>
                <w:i w:val="0"/>
                <w:iCs w:val="0"/>
                <w:caps w:val="0"/>
                <w:color w:val="333333"/>
                <w:spacing w:val="0"/>
                <w:sz w:val="18"/>
                <w:szCs w:val="18"/>
              </w:rPr>
            </w:pPr>
          </w:p>
        </w:tc>
        <w:tc>
          <w:tcPr>
            <w:tcW w:w="949" w:type="pct"/>
            <w:gridSpan w:val="3"/>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Helvetica" w:hAnsi="Helvetica" w:eastAsia="Helvetica" w:cs="Helvetica"/>
                <w:i w:val="0"/>
                <w:iCs w:val="0"/>
                <w:caps w:val="0"/>
                <w:color w:val="333333"/>
                <w:spacing w:val="0"/>
                <w:sz w:val="18"/>
                <w:szCs w:val="18"/>
              </w:rPr>
            </w:pPr>
          </w:p>
        </w:tc>
        <w:tc>
          <w:tcPr>
            <w:tcW w:w="500"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序号</w:t>
            </w:r>
          </w:p>
        </w:tc>
        <w:tc>
          <w:tcPr>
            <w:tcW w:w="8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名称</w:t>
            </w:r>
          </w:p>
        </w:tc>
        <w:tc>
          <w:tcPr>
            <w:tcW w:w="949" w:type="pct"/>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Helvetica" w:hAnsi="Helvetica" w:eastAsia="Helvetica" w:cs="Helvetica"/>
                <w:i w:val="0"/>
                <w:iCs w:val="0"/>
                <w:caps w:val="0"/>
                <w:color w:val="333333"/>
                <w:spacing w:val="0"/>
                <w:sz w:val="18"/>
                <w:szCs w:val="18"/>
              </w:rPr>
            </w:pPr>
          </w:p>
        </w:tc>
        <w:tc>
          <w:tcPr>
            <w:tcW w:w="600" w:type="pct"/>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Helvetica" w:hAnsi="Helvetica" w:eastAsia="Helvetica" w:cs="Helvetica"/>
                <w:i w:val="0"/>
                <w:iCs w:val="0"/>
                <w:caps w:val="0"/>
                <w:color w:val="333333"/>
                <w:spacing w:val="0"/>
                <w:sz w:val="18"/>
                <w:szCs w:val="18"/>
              </w:rPr>
            </w:pPr>
          </w:p>
        </w:tc>
        <w:tc>
          <w:tcPr>
            <w:tcW w:w="650" w:type="pct"/>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Helvetica" w:hAnsi="Helvetica" w:eastAsia="Helvetica" w:cs="Helvetica"/>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6" w:hRule="atLeast"/>
        </w:trPr>
        <w:tc>
          <w:tcPr>
            <w:tcW w:w="449"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00"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8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0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00"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8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0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00"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899"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949"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0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650"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5000" w:type="pct"/>
            <w:gridSpan w:val="13"/>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批准的授权签字人及授权签字领域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tcBorders>
              <w:top w:val="single" w:color="auto" w:sz="4" w:space="0"/>
              <w:left w:val="single" w:color="auto" w:sz="4"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序号</w:t>
            </w:r>
          </w:p>
        </w:tc>
        <w:tc>
          <w:tcPr>
            <w:tcW w:w="1449" w:type="pct"/>
            <w:gridSpan w:val="5"/>
            <w:tcBorders>
              <w:top w:val="single" w:color="auto" w:sz="4" w:space="0"/>
              <w:left w:val="nil"/>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姓名</w:t>
            </w:r>
          </w:p>
        </w:tc>
        <w:tc>
          <w:tcPr>
            <w:tcW w:w="3100" w:type="pct"/>
            <w:gridSpan w:val="7"/>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授权签字领域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449" w:type="pct"/>
            <w:gridSpan w:val="5"/>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3100" w:type="pct"/>
            <w:gridSpan w:val="7"/>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449"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449"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3100" w:type="pct"/>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5000" w:type="pct"/>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机构违法受处罚信息（初次申请不填写）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1250"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违法事实</w:t>
            </w:r>
          </w:p>
        </w:tc>
        <w:tc>
          <w:tcPr>
            <w:tcW w:w="1250"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处罚决定</w:t>
            </w:r>
          </w:p>
        </w:tc>
        <w:tc>
          <w:tcPr>
            <w:tcW w:w="1248"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处罚时间</w:t>
            </w:r>
          </w:p>
        </w:tc>
        <w:tc>
          <w:tcPr>
            <w:tcW w:w="1251"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执法机关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trPr>
        <w:tc>
          <w:tcPr>
            <w:tcW w:w="1250"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50"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48"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51"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9" w:hRule="atLeast"/>
        </w:trPr>
        <w:tc>
          <w:tcPr>
            <w:tcW w:w="1250" w:type="pct"/>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50"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48" w:type="pct"/>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251" w:type="pct"/>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 </w:t>
      </w:r>
    </w:p>
    <w:p>
      <w:pPr>
        <w:rPr>
          <w:rFonts w:hint="eastAsia" w:ascii="宋体" w:hAnsi="宋体" w:eastAsia="宋体" w:cs="宋体"/>
          <w:i w:val="0"/>
          <w:iCs w:val="0"/>
          <w:caps w:val="0"/>
          <w:color w:val="333333"/>
          <w:spacing w:val="0"/>
          <w:kern w:val="0"/>
          <w:sz w:val="32"/>
          <w:szCs w:val="32"/>
          <w:shd w:val="clear" w:fill="FFFFFF"/>
          <w:lang w:val="en-US" w:eastAsia="zh-CN" w:bidi="ar"/>
        </w:rPr>
      </w:pPr>
      <w:r>
        <w:rPr>
          <w:rFonts w:hint="eastAsia" w:ascii="宋体" w:hAnsi="宋体" w:eastAsia="宋体" w:cs="宋体"/>
          <w:i w:val="0"/>
          <w:iCs w:val="0"/>
          <w:caps w:val="0"/>
          <w:color w:val="333333"/>
          <w:spacing w:val="0"/>
          <w:kern w:val="0"/>
          <w:sz w:val="32"/>
          <w:szCs w:val="32"/>
          <w:shd w:val="clear" w:fill="FFFFFF"/>
          <w:lang w:val="en-US" w:eastAsia="zh-CN" w:bidi="ar"/>
        </w:rPr>
        <w:br w:type="page"/>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left"/>
        <w:textAlignment w:val="auto"/>
        <w:rPr>
          <w:rFonts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附件</w:t>
      </w:r>
      <w:r>
        <w:rPr>
          <w:rFonts w:ascii="宋体" w:hAnsi="宋体" w:eastAsia="宋体" w:cs="宋体"/>
          <w:i w:val="0"/>
          <w:iCs w:val="0"/>
          <w:caps w:val="0"/>
          <w:color w:val="333333"/>
          <w:spacing w:val="0"/>
          <w:kern w:val="0"/>
          <w:sz w:val="32"/>
          <w:szCs w:val="32"/>
          <w:shd w:val="clear" w:fill="FFFFFF"/>
          <w:lang w:val="en-US" w:eastAsia="zh-CN" w:bidi="ar"/>
        </w:rPr>
        <w:t>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32"/>
          <w:szCs w:val="32"/>
          <w:shd w:val="clear" w:fill="FFFFFF"/>
          <w:lang w:val="en-US" w:eastAsia="zh-CN" w:bidi="ar"/>
        </w:rPr>
        <w:t>安全评价检测检验机构从业告知书</w:t>
      </w:r>
      <w:r>
        <w:rPr>
          <w:rFonts w:ascii="宋体" w:hAnsi="宋体" w:eastAsia="宋体" w:cs="宋体"/>
          <w:i w:val="0"/>
          <w:iCs w:val="0"/>
          <w:caps w:val="0"/>
          <w:color w:val="333333"/>
          <w:spacing w:val="0"/>
          <w:kern w:val="0"/>
          <w:sz w:val="32"/>
          <w:szCs w:val="32"/>
          <w:shd w:val="clear" w:fill="FFFFFF"/>
          <w:lang w:val="en-US" w:eastAsia="zh-CN" w:bidi="ar"/>
        </w:rPr>
        <w:t>（样式）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left"/>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   </w:t>
      </w:r>
      <w:r>
        <w:rPr>
          <w:rFonts w:ascii="宋体" w:hAnsi="宋体" w:eastAsia="宋体" w:cs="宋体"/>
          <w:i w:val="0"/>
          <w:iCs w:val="0"/>
          <w:caps w:val="0"/>
          <w:color w:val="333333"/>
          <w:spacing w:val="0"/>
          <w:kern w:val="0"/>
          <w:sz w:val="32"/>
          <w:szCs w:val="32"/>
          <w:u w:val="single"/>
          <w:shd w:val="clear" w:fill="FFFFFF"/>
          <w:lang w:val="en-US" w:eastAsia="zh-CN" w:bidi="ar"/>
        </w:rPr>
        <w:t>                </w:t>
      </w:r>
      <w:r>
        <w:rPr>
          <w:rFonts w:ascii="宋体" w:hAnsi="宋体" w:eastAsia="宋体" w:cs="宋体"/>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left"/>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我单位承接了</w:t>
      </w:r>
      <w:r>
        <w:rPr>
          <w:rFonts w:ascii="宋体" w:hAnsi="宋体" w:eastAsia="宋体" w:cs="宋体"/>
          <w:i w:val="0"/>
          <w:iCs w:val="0"/>
          <w:caps w:val="0"/>
          <w:color w:val="333333"/>
          <w:spacing w:val="0"/>
          <w:kern w:val="0"/>
          <w:sz w:val="32"/>
          <w:szCs w:val="32"/>
          <w:u w:val="single"/>
          <w:shd w:val="clear" w:fill="FFFFFF"/>
          <w:lang w:val="en-US" w:eastAsia="zh-CN" w:bidi="ar"/>
        </w:rPr>
        <w:t>             </w:t>
      </w:r>
      <w:r>
        <w:rPr>
          <w:rFonts w:ascii="宋体" w:hAnsi="宋体" w:eastAsia="宋体" w:cs="宋体"/>
          <w:i w:val="0"/>
          <w:iCs w:val="0"/>
          <w:caps w:val="0"/>
          <w:color w:val="333333"/>
          <w:spacing w:val="0"/>
          <w:kern w:val="0"/>
          <w:sz w:val="32"/>
          <w:szCs w:val="32"/>
          <w:shd w:val="clear" w:fill="FFFFFF"/>
          <w:lang w:val="en-US" w:eastAsia="zh-CN" w:bidi="ar"/>
        </w:rPr>
        <w:t> □安全评价/□安全生产检测检验项目，拟于近期开展技术服务活动，现按照规定将有关信息告知如下。</w:t>
      </w:r>
    </w:p>
    <w:tbl>
      <w:tblPr>
        <w:tblStyle w:val="2"/>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05"/>
        <w:gridCol w:w="96"/>
        <w:gridCol w:w="98"/>
        <w:gridCol w:w="479"/>
        <w:gridCol w:w="954"/>
        <w:gridCol w:w="864"/>
        <w:gridCol w:w="287"/>
        <w:gridCol w:w="285"/>
        <w:gridCol w:w="1247"/>
        <w:gridCol w:w="284"/>
        <w:gridCol w:w="577"/>
        <w:gridCol w:w="577"/>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8" w:hRule="atLeast"/>
        </w:trPr>
        <w:tc>
          <w:tcPr>
            <w:tcW w:w="1099"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机构名称</w:t>
            </w:r>
          </w:p>
        </w:tc>
        <w:tc>
          <w:tcPr>
            <w:tcW w:w="3900" w:type="pct"/>
            <w:gridSpan w:val="1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7" w:hRule="atLeast"/>
        </w:trPr>
        <w:tc>
          <w:tcPr>
            <w:tcW w:w="1450" w:type="pct"/>
            <w:gridSpan w:val="4"/>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机构资质证书编号</w:t>
            </w:r>
          </w:p>
        </w:tc>
        <w:tc>
          <w:tcPr>
            <w:tcW w:w="9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99" w:type="pct"/>
            <w:gridSpan w:val="5"/>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机构信息公开网址</w:t>
            </w:r>
          </w:p>
        </w:tc>
        <w:tc>
          <w:tcPr>
            <w:tcW w:w="1200"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2"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办公地址</w:t>
            </w:r>
          </w:p>
        </w:tc>
        <w:tc>
          <w:tcPr>
            <w:tcW w:w="2200" w:type="pct"/>
            <w:gridSpan w:val="7"/>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75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邮政编码</w:t>
            </w:r>
          </w:p>
        </w:tc>
        <w:tc>
          <w:tcPr>
            <w:tcW w:w="899"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6"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法定代表人</w:t>
            </w:r>
          </w:p>
        </w:tc>
        <w:tc>
          <w:tcPr>
            <w:tcW w:w="799"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59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联系人</w:t>
            </w:r>
          </w:p>
        </w:tc>
        <w:tc>
          <w:tcPr>
            <w:tcW w:w="800"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75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联系电话</w:t>
            </w:r>
          </w:p>
        </w:tc>
        <w:tc>
          <w:tcPr>
            <w:tcW w:w="899" w:type="pc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9"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项目名称</w:t>
            </w:r>
          </w:p>
        </w:tc>
        <w:tc>
          <w:tcPr>
            <w:tcW w:w="3850" w:type="pct"/>
            <w:gridSpan w:val="11"/>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项目地址</w:t>
            </w:r>
          </w:p>
        </w:tc>
        <w:tc>
          <w:tcPr>
            <w:tcW w:w="3850" w:type="pct"/>
            <w:gridSpan w:val="11"/>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项目所属行业</w:t>
            </w:r>
          </w:p>
        </w:tc>
        <w:tc>
          <w:tcPr>
            <w:tcW w:w="3850" w:type="pct"/>
            <w:gridSpan w:val="11"/>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项目组长</w:t>
            </w:r>
          </w:p>
        </w:tc>
        <w:tc>
          <w:tcPr>
            <w:tcW w:w="1549"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79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联系电话</w:t>
            </w:r>
          </w:p>
        </w:tc>
        <w:tc>
          <w:tcPr>
            <w:tcW w:w="150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0"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技术服务期限</w:t>
            </w:r>
          </w:p>
        </w:tc>
        <w:tc>
          <w:tcPr>
            <w:tcW w:w="3850" w:type="pct"/>
            <w:gridSpan w:val="11"/>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0" w:hRule="atLeast"/>
        </w:trPr>
        <w:tc>
          <w:tcPr>
            <w:tcW w:w="1149" w:type="pct"/>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20"/>
                <w:kern w:val="0"/>
                <w:sz w:val="28"/>
                <w:szCs w:val="28"/>
                <w:lang w:val="en-US" w:eastAsia="zh-CN" w:bidi="ar"/>
              </w:rPr>
              <w:t>计划现场勘验（检测检验）时间</w:t>
            </w:r>
          </w:p>
        </w:tc>
        <w:tc>
          <w:tcPr>
            <w:tcW w:w="3850" w:type="pct"/>
            <w:gridSpan w:val="11"/>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项目组成员、专业及工作任务（安全评价机构填写）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姓 名</w:t>
            </w:r>
          </w:p>
        </w:tc>
        <w:tc>
          <w:tcPr>
            <w:tcW w:w="1349" w:type="pct"/>
            <w:gridSpan w:val="4"/>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专 业</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49" w:type="pct"/>
            <w:gridSpan w:val="4"/>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b/>
                <w:bCs/>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200" w:type="pct"/>
            <w:gridSpan w:val="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1349" w:type="pct"/>
            <w:gridSpan w:val="4"/>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现场检测检验人员（安全生产检测检验机构填写）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549" w:type="pct"/>
            <w:gridSpan w:val="7"/>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姓 名</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iCs w:val="0"/>
                <w:caps w:val="0"/>
                <w:color w:val="333333"/>
                <w:spacing w:val="0"/>
                <w:kern w:val="0"/>
                <w:sz w:val="28"/>
                <w:szCs w:val="28"/>
                <w:lang w:val="en-US" w:eastAsia="zh-CN" w:bidi="ar"/>
              </w:rPr>
              <w:t>检测检验项目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549" w:type="pct"/>
            <w:gridSpan w:val="7"/>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2549" w:type="pct"/>
            <w:gridSpan w:val="7"/>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c>
          <w:tcPr>
            <w:tcW w:w="2450" w:type="pct"/>
            <w:gridSpan w:val="6"/>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center"/>
              <w:textAlignment w:val="auto"/>
              <w:rPr>
                <w:rFonts w:ascii="宋体" w:hAnsi="宋体" w:eastAsia="宋体" w:cs="宋体"/>
                <w:color w:val="333333"/>
                <w:sz w:val="27"/>
                <w:szCs w:val="27"/>
              </w:rPr>
            </w:pPr>
            <w:r>
              <w:rPr>
                <w:rFonts w:ascii="宋体" w:hAnsi="宋体" w:eastAsia="宋体" w:cs="宋体"/>
                <w:i w:val="0"/>
                <w:iCs w:val="0"/>
                <w:caps w:val="0"/>
                <w:color w:val="333333"/>
                <w:spacing w:val="0"/>
                <w:kern w:val="0"/>
                <w:sz w:val="28"/>
                <w:szCs w:val="28"/>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right"/>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机构（盖章）：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right"/>
        <w:textAlignment w:val="auto"/>
        <w:rPr>
          <w:rFonts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32"/>
          <w:szCs w:val="32"/>
          <w:shd w:val="clear" w:fill="FFFFFF"/>
          <w:lang w:val="en-US" w:eastAsia="zh-CN" w:bidi="ar"/>
        </w:rPr>
        <w:t>年</w:t>
      </w:r>
      <w:r>
        <w:rPr>
          <w:rFonts w:ascii="宋体" w:hAnsi="宋体" w:eastAsia="宋体" w:cs="宋体"/>
          <w:i w:val="0"/>
          <w:iCs w:val="0"/>
          <w:caps w:val="0"/>
          <w:color w:val="333333"/>
          <w:spacing w:val="0"/>
          <w:kern w:val="0"/>
          <w:sz w:val="32"/>
          <w:szCs w:val="32"/>
          <w:shd w:val="clear" w:fill="FFFFFF"/>
          <w:lang w:val="en-US" w:eastAsia="zh-CN" w:bidi="ar"/>
        </w:rPr>
        <w:t>   </w:t>
      </w:r>
      <w:r>
        <w:rPr>
          <w:rFonts w:hint="eastAsia" w:ascii="宋体" w:hAnsi="宋体" w:eastAsia="宋体" w:cs="宋体"/>
          <w:i w:val="0"/>
          <w:iCs w:val="0"/>
          <w:caps w:val="0"/>
          <w:color w:val="333333"/>
          <w:spacing w:val="0"/>
          <w:kern w:val="0"/>
          <w:sz w:val="32"/>
          <w:szCs w:val="32"/>
          <w:shd w:val="clear" w:fill="FFFFFF"/>
          <w:lang w:val="en-US" w:eastAsia="zh-CN" w:bidi="ar"/>
        </w:rPr>
        <w:t>月</w:t>
      </w:r>
      <w:r>
        <w:rPr>
          <w:rFonts w:ascii="宋体" w:hAnsi="宋体" w:eastAsia="宋体" w:cs="宋体"/>
          <w:i w:val="0"/>
          <w:iCs w:val="0"/>
          <w:caps w:val="0"/>
          <w:color w:val="333333"/>
          <w:spacing w:val="0"/>
          <w:kern w:val="0"/>
          <w:sz w:val="32"/>
          <w:szCs w:val="32"/>
          <w:shd w:val="clear" w:fill="FFFFFF"/>
          <w:lang w:val="en-US" w:eastAsia="zh-CN" w:bidi="ar"/>
        </w:rPr>
        <w:t>   </w:t>
      </w:r>
      <w:r>
        <w:rPr>
          <w:rFonts w:hint="eastAsia" w:ascii="宋体" w:hAnsi="宋体" w:eastAsia="宋体" w:cs="宋体"/>
          <w:i w:val="0"/>
          <w:iCs w:val="0"/>
          <w:caps w:val="0"/>
          <w:color w:val="333333"/>
          <w:spacing w:val="0"/>
          <w:kern w:val="0"/>
          <w:sz w:val="32"/>
          <w:szCs w:val="32"/>
          <w:shd w:val="clear" w:fill="FFFFFF"/>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0"/>
        <w:jc w:val="right"/>
        <w:textAlignment w:val="auto"/>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default" w:ascii="Helvetica" w:hAnsi="Helvetica" w:eastAsia="Helvetica" w:cs="Helvetica"/>
          <w:i w:val="0"/>
          <w:iCs w:val="0"/>
          <w:caps w:val="0"/>
          <w:color w:val="333333"/>
          <w:spacing w:val="0"/>
          <w:sz w:val="18"/>
          <w:szCs w:val="18"/>
        </w:rPr>
      </w:pPr>
      <w:r>
        <w:rPr>
          <w:rFonts w:hint="default" w:ascii="Helvetica" w:hAnsi="Helvetica" w:eastAsia="Helvetica" w:cs="Helvetica"/>
          <w:i w:val="0"/>
          <w:iCs w:val="0"/>
          <w:caps w:val="0"/>
          <w:color w:val="333333"/>
          <w:spacing w:val="0"/>
          <w:kern w:val="0"/>
          <w:sz w:val="18"/>
          <w:szCs w:val="18"/>
          <w:shd w:val="clear" w:fill="FFFFFF"/>
          <w:lang w:val="en-US" w:eastAsia="zh-CN" w:bidi="ar"/>
        </w:rPr>
        <w:t> </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13DD3"/>
    <w:rsid w:val="040539E1"/>
    <w:rsid w:val="17A13DD3"/>
    <w:rsid w:val="35F16526"/>
    <w:rsid w:val="564C5E20"/>
    <w:rsid w:val="5C426947"/>
    <w:rsid w:val="66B9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22</Pages>
  <Words>7380</Words>
  <Characters>7417</Characters>
  <Lines>0</Lines>
  <Paragraphs>0</Paragraphs>
  <TotalTime>6</TotalTime>
  <ScaleCrop>false</ScaleCrop>
  <LinksUpToDate>false</LinksUpToDate>
  <CharactersWithSpaces>7673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2022-03-22T00:46:00Z</dcterms:created>
  <dc:creator>Mr.Shen</dc:creator>
  <cp:lastModifiedBy>Mr.Shen</cp:lastModifiedBy>
  <dcterms:modified xsi:type="dcterms:W3CDTF">2022-03-22T01:20:54Z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52350C30440F4A6A9C5ED90FDEB59C1A</vt:lpwstr>
  </property>
</Properties>
</file>