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6" w:hRule="atLeast"/>
        </w:trPr>
        <w:tc>
          <w:tcPr>
            <w:tcW w:w="8296" w:type="dxa"/>
            <w:vAlign w:val="bottom"/>
          </w:tcPr>
          <w:p>
            <w:pPr>
              <w:pStyle w:val="43"/>
              <w:spacing w:before="0" w:beforeLines="0" w:after="0" w:afterLines="0" w:line="560" w:lineRule="exact"/>
              <w:jc w:val="both"/>
            </w:pPr>
            <w:r>
              <w:rPr>
                <w:rFonts w:hint="eastAsia" w:ascii="仿宋" w:hAnsi="仿宋" w:eastAsia="仿宋"/>
                <w:sz w:val="32"/>
                <w:szCs w:val="32"/>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93" w:hRule="atLeast"/>
        </w:trPr>
        <w:tc>
          <w:tcPr>
            <w:tcW w:w="8296" w:type="dxa"/>
            <w:vAlign w:val="bottom"/>
          </w:tcPr>
          <w:p>
            <w:pPr>
              <w:pStyle w:val="43"/>
              <w:spacing w:before="0" w:beforeLines="0" w:after="0" w:afterLines="0" w:line="560" w:lineRule="exact"/>
            </w:pPr>
            <w:r>
              <w:rPr>
                <w:rFonts w:hint="eastAsia"/>
              </w:rPr>
              <w:t>河南省交通运输突发事件综合应急预案</w:t>
            </w:r>
          </w:p>
          <w:p>
            <w:pPr>
              <w:pStyle w:val="43"/>
              <w:spacing w:before="468" w:beforeLines="150" w:after="0" w:afterLines="0" w:line="560" w:lineRule="exact"/>
              <w:rPr>
                <w:rFonts w:ascii="楷体" w:hAnsi="楷体" w:eastAsia="楷体"/>
                <w:b w:val="0"/>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46" w:hRule="atLeast"/>
        </w:trPr>
        <w:tc>
          <w:tcPr>
            <w:tcW w:w="8296" w:type="dxa"/>
            <w:vAlign w:val="bottom"/>
          </w:tcPr>
          <w:p>
            <w:pPr>
              <w:pStyle w:val="43"/>
              <w:rPr>
                <w:rFonts w:ascii="宋体" w:hAnsi="宋体"/>
                <w:sz w:val="32"/>
                <w:szCs w:val="32"/>
              </w:rPr>
            </w:pPr>
            <w:r>
              <w:rPr>
                <w:rFonts w:hint="eastAsia" w:ascii="宋体" w:hAnsi="宋体"/>
                <w:sz w:val="32"/>
                <w:szCs w:val="32"/>
              </w:rPr>
              <w:t>河南省交通运输厅</w:t>
            </w:r>
          </w:p>
          <w:p>
            <w:pPr>
              <w:pStyle w:val="43"/>
              <w:rPr>
                <w:rFonts w:ascii="宋体" w:hAnsi="宋体"/>
              </w:rPr>
            </w:pPr>
            <w:r>
              <w:rPr>
                <w:rFonts w:hint="eastAsia" w:ascii="宋体" w:hAnsi="宋体"/>
                <w:sz w:val="32"/>
                <w:szCs w:val="32"/>
              </w:rPr>
              <w:t>二〇二二年一月</w:t>
            </w:r>
          </w:p>
        </w:tc>
      </w:tr>
    </w:tbl>
    <w:p>
      <w:pPr>
        <w:pStyle w:val="43"/>
        <w:spacing w:before="0" w:beforeLines="0" w:after="0" w:afterLines="0" w:line="240" w:lineRule="auto"/>
      </w:pPr>
    </w:p>
    <w:p>
      <w:pPr>
        <w:pStyle w:val="35"/>
        <w:ind w:firstLine="640"/>
        <w:sectPr>
          <w:footerReference r:id="rId3" w:type="default"/>
          <w:pgSz w:w="11906" w:h="16838"/>
          <w:pgMar w:top="1440" w:right="1800" w:bottom="1440" w:left="1800" w:header="851" w:footer="992" w:gutter="0"/>
          <w:cols w:space="425" w:num="1"/>
          <w:docGrid w:type="lines" w:linePitch="312" w:charSpace="0"/>
        </w:sectPr>
      </w:pPr>
    </w:p>
    <w:p>
      <w:pPr>
        <w:pStyle w:val="43"/>
        <w:rPr>
          <w:rFonts w:eastAsia="黑体"/>
          <w:b w:val="0"/>
          <w:bCs/>
        </w:rPr>
      </w:pPr>
      <w:r>
        <w:rPr>
          <w:rFonts w:eastAsia="黑体"/>
          <w:b w:val="0"/>
          <w:bCs/>
        </w:rPr>
        <w:t>目</w:t>
      </w:r>
      <w:r>
        <w:rPr>
          <w:rFonts w:hint="eastAsia" w:eastAsia="黑体"/>
          <w:b w:val="0"/>
          <w:bCs/>
        </w:rPr>
        <w:t xml:space="preserve"> </w:t>
      </w:r>
      <w:r>
        <w:rPr>
          <w:rFonts w:eastAsia="黑体"/>
          <w:b w:val="0"/>
          <w:bCs/>
        </w:rPr>
        <w:t xml:space="preserve"> 录</w:t>
      </w:r>
    </w:p>
    <w:p>
      <w:pPr>
        <w:pStyle w:val="6"/>
        <w:spacing w:line="264" w:lineRule="auto"/>
        <w:rPr>
          <w:rFonts w:asciiTheme="minorHAnsi" w:hAnsiTheme="minorHAnsi" w:eastAsiaTheme="minorEastAsia"/>
          <w:sz w:val="21"/>
          <w:szCs w:val="22"/>
        </w:rPr>
      </w:pPr>
      <w:r>
        <w:fldChar w:fldCharType="begin"/>
      </w:r>
      <w:r>
        <w:instrText xml:space="preserve"> </w:instrText>
      </w:r>
      <w:r>
        <w:rPr>
          <w:rFonts w:hint="eastAsia"/>
        </w:rPr>
        <w:instrText xml:space="preserve">TOC \o "1-2" \h \z \u</w:instrText>
      </w:r>
      <w:r>
        <w:instrText xml:space="preserve"> </w:instrText>
      </w:r>
      <w:r>
        <w:fldChar w:fldCharType="separate"/>
      </w:r>
      <w:r>
        <w:fldChar w:fldCharType="begin"/>
      </w:r>
      <w:r>
        <w:instrText xml:space="preserve"> HYPERLINK \l "_Toc94283098" </w:instrText>
      </w:r>
      <w:r>
        <w:fldChar w:fldCharType="separate"/>
      </w:r>
      <w:r>
        <w:rPr>
          <w:rStyle w:val="9"/>
        </w:rPr>
        <w:t>1 总则</w:t>
      </w:r>
      <w:r>
        <w:tab/>
      </w:r>
      <w:r>
        <w:fldChar w:fldCharType="begin"/>
      </w:r>
      <w:r>
        <w:instrText xml:space="preserve"> PAGEREF _Toc94283098 \h </w:instrText>
      </w:r>
      <w:r>
        <w:fldChar w:fldCharType="separate"/>
      </w:r>
      <w:r>
        <w:t>1</w:t>
      </w:r>
      <w:r>
        <w:fldChar w:fldCharType="end"/>
      </w:r>
      <w:r>
        <w:fldChar w:fldCharType="end"/>
      </w:r>
    </w:p>
    <w:p>
      <w:pPr>
        <w:pStyle w:val="7"/>
        <w:snapToGrid w:val="0"/>
        <w:spacing w:line="264" w:lineRule="auto"/>
        <w:rPr>
          <w:rFonts w:asciiTheme="minorHAnsi" w:hAnsiTheme="minorHAnsi" w:eastAsiaTheme="minorEastAsia"/>
          <w:sz w:val="21"/>
          <w:szCs w:val="22"/>
        </w:rPr>
      </w:pPr>
      <w:r>
        <w:fldChar w:fldCharType="begin"/>
      </w:r>
      <w:r>
        <w:instrText xml:space="preserve"> HYPERLINK \l "_Toc94283099" </w:instrText>
      </w:r>
      <w:r>
        <w:fldChar w:fldCharType="separate"/>
      </w:r>
      <w:r>
        <w:rPr>
          <w:rStyle w:val="9"/>
        </w:rPr>
        <w:t>1.1 编制目的</w:t>
      </w:r>
      <w:r>
        <w:tab/>
      </w:r>
      <w:r>
        <w:fldChar w:fldCharType="begin"/>
      </w:r>
      <w:r>
        <w:instrText xml:space="preserve"> PAGEREF _Toc94283099 \h </w:instrText>
      </w:r>
      <w:r>
        <w:fldChar w:fldCharType="separate"/>
      </w:r>
      <w:r>
        <w:t>1</w:t>
      </w:r>
      <w:r>
        <w:fldChar w:fldCharType="end"/>
      </w:r>
      <w:r>
        <w:fldChar w:fldCharType="end"/>
      </w:r>
    </w:p>
    <w:p>
      <w:pPr>
        <w:pStyle w:val="7"/>
        <w:snapToGrid w:val="0"/>
        <w:spacing w:line="264" w:lineRule="auto"/>
        <w:rPr>
          <w:rFonts w:asciiTheme="minorHAnsi" w:hAnsiTheme="minorHAnsi" w:eastAsiaTheme="minorEastAsia"/>
          <w:sz w:val="21"/>
          <w:szCs w:val="22"/>
        </w:rPr>
      </w:pPr>
      <w:r>
        <w:fldChar w:fldCharType="begin"/>
      </w:r>
      <w:r>
        <w:instrText xml:space="preserve"> HYPERLINK \l "_Toc94283100" </w:instrText>
      </w:r>
      <w:r>
        <w:fldChar w:fldCharType="separate"/>
      </w:r>
      <w:r>
        <w:rPr>
          <w:rStyle w:val="9"/>
        </w:rPr>
        <w:t>1.2 编制依据</w:t>
      </w:r>
      <w:r>
        <w:tab/>
      </w:r>
      <w:r>
        <w:fldChar w:fldCharType="begin"/>
      </w:r>
      <w:r>
        <w:instrText xml:space="preserve"> PAGEREF _Toc94283100 \h </w:instrText>
      </w:r>
      <w:r>
        <w:fldChar w:fldCharType="separate"/>
      </w:r>
      <w:r>
        <w:t>1</w:t>
      </w:r>
      <w:r>
        <w:fldChar w:fldCharType="end"/>
      </w:r>
      <w:r>
        <w:fldChar w:fldCharType="end"/>
      </w:r>
    </w:p>
    <w:p>
      <w:pPr>
        <w:pStyle w:val="7"/>
        <w:snapToGrid w:val="0"/>
        <w:spacing w:line="264" w:lineRule="auto"/>
        <w:rPr>
          <w:rFonts w:asciiTheme="minorHAnsi" w:hAnsiTheme="minorHAnsi" w:eastAsiaTheme="minorEastAsia"/>
          <w:sz w:val="21"/>
          <w:szCs w:val="22"/>
        </w:rPr>
      </w:pPr>
      <w:r>
        <w:fldChar w:fldCharType="begin"/>
      </w:r>
      <w:r>
        <w:instrText xml:space="preserve"> HYPERLINK \l "_Toc94283101" </w:instrText>
      </w:r>
      <w:r>
        <w:fldChar w:fldCharType="separate"/>
      </w:r>
      <w:r>
        <w:rPr>
          <w:rStyle w:val="9"/>
        </w:rPr>
        <w:t>1.3 适用范围</w:t>
      </w:r>
      <w:r>
        <w:tab/>
      </w:r>
      <w:r>
        <w:fldChar w:fldCharType="begin"/>
      </w:r>
      <w:r>
        <w:instrText xml:space="preserve"> PAGEREF _Toc94283101 \h </w:instrText>
      </w:r>
      <w:r>
        <w:fldChar w:fldCharType="separate"/>
      </w:r>
      <w:r>
        <w:t>1</w:t>
      </w:r>
      <w:r>
        <w:fldChar w:fldCharType="end"/>
      </w:r>
      <w:r>
        <w:fldChar w:fldCharType="end"/>
      </w:r>
    </w:p>
    <w:p>
      <w:pPr>
        <w:pStyle w:val="7"/>
        <w:snapToGrid w:val="0"/>
        <w:spacing w:line="264" w:lineRule="auto"/>
        <w:rPr>
          <w:rFonts w:asciiTheme="minorHAnsi" w:hAnsiTheme="minorHAnsi" w:eastAsiaTheme="minorEastAsia"/>
          <w:sz w:val="21"/>
          <w:szCs w:val="22"/>
        </w:rPr>
      </w:pPr>
      <w:r>
        <w:fldChar w:fldCharType="begin"/>
      </w:r>
      <w:r>
        <w:instrText xml:space="preserve"> HYPERLINK \l "_Toc94283102" </w:instrText>
      </w:r>
      <w:r>
        <w:fldChar w:fldCharType="separate"/>
      </w:r>
      <w:r>
        <w:rPr>
          <w:rStyle w:val="9"/>
        </w:rPr>
        <w:t>1.4 工作原则</w:t>
      </w:r>
      <w:r>
        <w:tab/>
      </w:r>
      <w:r>
        <w:fldChar w:fldCharType="begin"/>
      </w:r>
      <w:r>
        <w:instrText xml:space="preserve"> PAGEREF _Toc94283102 \h </w:instrText>
      </w:r>
      <w:r>
        <w:fldChar w:fldCharType="separate"/>
      </w:r>
      <w:r>
        <w:t>2</w:t>
      </w:r>
      <w:r>
        <w:fldChar w:fldCharType="end"/>
      </w:r>
      <w:r>
        <w:fldChar w:fldCharType="end"/>
      </w:r>
    </w:p>
    <w:p>
      <w:pPr>
        <w:pStyle w:val="7"/>
        <w:snapToGrid w:val="0"/>
        <w:spacing w:line="264" w:lineRule="auto"/>
        <w:rPr>
          <w:rFonts w:asciiTheme="minorHAnsi" w:hAnsiTheme="minorHAnsi" w:eastAsiaTheme="minorEastAsia"/>
          <w:sz w:val="21"/>
          <w:szCs w:val="22"/>
        </w:rPr>
      </w:pPr>
      <w:r>
        <w:fldChar w:fldCharType="begin"/>
      </w:r>
      <w:r>
        <w:instrText xml:space="preserve"> HYPERLINK \l "_Toc94283103" </w:instrText>
      </w:r>
      <w:r>
        <w:fldChar w:fldCharType="separate"/>
      </w:r>
      <w:r>
        <w:rPr>
          <w:rStyle w:val="9"/>
        </w:rPr>
        <w:t>1.5 事件分类</w:t>
      </w:r>
      <w:r>
        <w:tab/>
      </w:r>
      <w:r>
        <w:fldChar w:fldCharType="begin"/>
      </w:r>
      <w:r>
        <w:instrText xml:space="preserve"> PAGEREF _Toc94283103 \h </w:instrText>
      </w:r>
      <w:r>
        <w:fldChar w:fldCharType="separate"/>
      </w:r>
      <w:r>
        <w:t>2</w:t>
      </w:r>
      <w:r>
        <w:fldChar w:fldCharType="end"/>
      </w:r>
      <w:r>
        <w:fldChar w:fldCharType="end"/>
      </w:r>
    </w:p>
    <w:p>
      <w:pPr>
        <w:pStyle w:val="7"/>
        <w:snapToGrid w:val="0"/>
        <w:spacing w:line="264" w:lineRule="auto"/>
        <w:rPr>
          <w:rFonts w:asciiTheme="minorHAnsi" w:hAnsiTheme="minorHAnsi" w:eastAsiaTheme="minorEastAsia"/>
          <w:sz w:val="21"/>
          <w:szCs w:val="22"/>
        </w:rPr>
      </w:pPr>
      <w:r>
        <w:fldChar w:fldCharType="begin"/>
      </w:r>
      <w:r>
        <w:instrText xml:space="preserve"> HYPERLINK \l "_Toc94283104" </w:instrText>
      </w:r>
      <w:r>
        <w:fldChar w:fldCharType="separate"/>
      </w:r>
      <w:r>
        <w:rPr>
          <w:rStyle w:val="9"/>
        </w:rPr>
        <w:t>1.6 事件分级</w:t>
      </w:r>
      <w:r>
        <w:tab/>
      </w:r>
      <w:r>
        <w:fldChar w:fldCharType="begin"/>
      </w:r>
      <w:r>
        <w:instrText xml:space="preserve"> PAGEREF _Toc94283104 \h </w:instrText>
      </w:r>
      <w:r>
        <w:fldChar w:fldCharType="separate"/>
      </w:r>
      <w:r>
        <w:t>3</w:t>
      </w:r>
      <w:r>
        <w:fldChar w:fldCharType="end"/>
      </w:r>
      <w:r>
        <w:fldChar w:fldCharType="end"/>
      </w:r>
    </w:p>
    <w:p>
      <w:pPr>
        <w:pStyle w:val="7"/>
        <w:snapToGrid w:val="0"/>
        <w:spacing w:line="264" w:lineRule="auto"/>
        <w:rPr>
          <w:rFonts w:asciiTheme="minorHAnsi" w:hAnsiTheme="minorHAnsi" w:eastAsiaTheme="minorEastAsia"/>
          <w:sz w:val="21"/>
          <w:szCs w:val="22"/>
        </w:rPr>
      </w:pPr>
      <w:r>
        <w:fldChar w:fldCharType="begin"/>
      </w:r>
      <w:r>
        <w:instrText xml:space="preserve"> HYPERLINK \l "_Toc94283105" </w:instrText>
      </w:r>
      <w:r>
        <w:fldChar w:fldCharType="separate"/>
      </w:r>
      <w:r>
        <w:rPr>
          <w:rStyle w:val="9"/>
        </w:rPr>
        <w:t>1.7 应急预案体系</w:t>
      </w:r>
      <w:r>
        <w:tab/>
      </w:r>
      <w:r>
        <w:fldChar w:fldCharType="begin"/>
      </w:r>
      <w:r>
        <w:instrText xml:space="preserve"> PAGEREF _Toc94283105 \h </w:instrText>
      </w:r>
      <w:r>
        <w:fldChar w:fldCharType="separate"/>
      </w:r>
      <w:r>
        <w:t>3</w:t>
      </w:r>
      <w:r>
        <w:fldChar w:fldCharType="end"/>
      </w:r>
      <w:r>
        <w:fldChar w:fldCharType="end"/>
      </w:r>
    </w:p>
    <w:p>
      <w:pPr>
        <w:pStyle w:val="7"/>
        <w:snapToGrid w:val="0"/>
        <w:spacing w:line="264" w:lineRule="auto"/>
        <w:rPr>
          <w:rFonts w:asciiTheme="minorHAnsi" w:hAnsiTheme="minorHAnsi" w:eastAsiaTheme="minorEastAsia"/>
          <w:sz w:val="21"/>
          <w:szCs w:val="22"/>
        </w:rPr>
      </w:pPr>
      <w:r>
        <w:fldChar w:fldCharType="begin"/>
      </w:r>
      <w:r>
        <w:instrText xml:space="preserve"> HYPERLINK \l "_Toc94283106" </w:instrText>
      </w:r>
      <w:r>
        <w:fldChar w:fldCharType="separate"/>
      </w:r>
      <w:r>
        <w:rPr>
          <w:rStyle w:val="9"/>
        </w:rPr>
        <w:t>1.8 应急预案衔接</w:t>
      </w:r>
      <w:r>
        <w:tab/>
      </w:r>
      <w:r>
        <w:fldChar w:fldCharType="begin"/>
      </w:r>
      <w:r>
        <w:instrText xml:space="preserve"> PAGEREF _Toc94283106 \h </w:instrText>
      </w:r>
      <w:r>
        <w:fldChar w:fldCharType="separate"/>
      </w:r>
      <w:r>
        <w:t>4</w:t>
      </w:r>
      <w:r>
        <w:fldChar w:fldCharType="end"/>
      </w:r>
      <w:r>
        <w:fldChar w:fldCharType="end"/>
      </w:r>
    </w:p>
    <w:p>
      <w:pPr>
        <w:pStyle w:val="6"/>
        <w:spacing w:line="264" w:lineRule="auto"/>
        <w:rPr>
          <w:rFonts w:asciiTheme="minorHAnsi" w:hAnsiTheme="minorHAnsi" w:eastAsiaTheme="minorEastAsia"/>
          <w:sz w:val="21"/>
          <w:szCs w:val="22"/>
        </w:rPr>
      </w:pPr>
      <w:r>
        <w:fldChar w:fldCharType="begin"/>
      </w:r>
      <w:r>
        <w:instrText xml:space="preserve"> HYPERLINK \l "_Toc94283107" </w:instrText>
      </w:r>
      <w:r>
        <w:fldChar w:fldCharType="separate"/>
      </w:r>
      <w:r>
        <w:rPr>
          <w:rStyle w:val="9"/>
        </w:rPr>
        <w:t>2 应急组织指挥体系及职责</w:t>
      </w:r>
      <w:r>
        <w:tab/>
      </w:r>
      <w:r>
        <w:fldChar w:fldCharType="begin"/>
      </w:r>
      <w:r>
        <w:instrText xml:space="preserve"> PAGEREF _Toc94283107 \h </w:instrText>
      </w:r>
      <w:r>
        <w:fldChar w:fldCharType="separate"/>
      </w:r>
      <w:r>
        <w:t>4</w:t>
      </w:r>
      <w:r>
        <w:fldChar w:fldCharType="end"/>
      </w:r>
      <w:r>
        <w:fldChar w:fldCharType="end"/>
      </w:r>
    </w:p>
    <w:p>
      <w:pPr>
        <w:pStyle w:val="7"/>
        <w:snapToGrid w:val="0"/>
        <w:spacing w:line="264" w:lineRule="auto"/>
        <w:rPr>
          <w:rFonts w:asciiTheme="minorHAnsi" w:hAnsiTheme="minorHAnsi" w:eastAsiaTheme="minorEastAsia"/>
          <w:sz w:val="21"/>
          <w:szCs w:val="22"/>
        </w:rPr>
      </w:pPr>
      <w:r>
        <w:fldChar w:fldCharType="begin"/>
      </w:r>
      <w:r>
        <w:instrText xml:space="preserve"> HYPERLINK \l "_Toc94283108" </w:instrText>
      </w:r>
      <w:r>
        <w:fldChar w:fldCharType="separate"/>
      </w:r>
      <w:r>
        <w:rPr>
          <w:rStyle w:val="9"/>
        </w:rPr>
        <w:t>2.1 突发事件应急指挥部</w:t>
      </w:r>
      <w:r>
        <w:tab/>
      </w:r>
      <w:r>
        <w:fldChar w:fldCharType="begin"/>
      </w:r>
      <w:r>
        <w:instrText xml:space="preserve"> PAGEREF _Toc94283108 \h </w:instrText>
      </w:r>
      <w:r>
        <w:fldChar w:fldCharType="separate"/>
      </w:r>
      <w:r>
        <w:t>4</w:t>
      </w:r>
      <w:r>
        <w:fldChar w:fldCharType="end"/>
      </w:r>
      <w:r>
        <w:fldChar w:fldCharType="end"/>
      </w:r>
    </w:p>
    <w:p>
      <w:pPr>
        <w:pStyle w:val="7"/>
        <w:snapToGrid w:val="0"/>
        <w:spacing w:line="264" w:lineRule="auto"/>
        <w:rPr>
          <w:rFonts w:asciiTheme="minorHAnsi" w:hAnsiTheme="minorHAnsi" w:eastAsiaTheme="minorEastAsia"/>
          <w:sz w:val="21"/>
          <w:szCs w:val="22"/>
        </w:rPr>
      </w:pPr>
      <w:r>
        <w:fldChar w:fldCharType="begin"/>
      </w:r>
      <w:r>
        <w:instrText xml:space="preserve"> HYPERLINK \l "_Toc94283109" </w:instrText>
      </w:r>
      <w:r>
        <w:fldChar w:fldCharType="separate"/>
      </w:r>
      <w:r>
        <w:rPr>
          <w:rStyle w:val="9"/>
        </w:rPr>
        <w:t>2.2 应急办公室</w:t>
      </w:r>
      <w:r>
        <w:tab/>
      </w:r>
      <w:r>
        <w:fldChar w:fldCharType="begin"/>
      </w:r>
      <w:r>
        <w:instrText xml:space="preserve"> PAGEREF _Toc94283109 \h </w:instrText>
      </w:r>
      <w:r>
        <w:fldChar w:fldCharType="separate"/>
      </w:r>
      <w:r>
        <w:t>5</w:t>
      </w:r>
      <w:r>
        <w:fldChar w:fldCharType="end"/>
      </w:r>
      <w:r>
        <w:fldChar w:fldCharType="end"/>
      </w:r>
    </w:p>
    <w:p>
      <w:pPr>
        <w:pStyle w:val="7"/>
        <w:snapToGrid w:val="0"/>
        <w:spacing w:line="264" w:lineRule="auto"/>
        <w:rPr>
          <w:rFonts w:asciiTheme="minorHAnsi" w:hAnsiTheme="minorHAnsi" w:eastAsiaTheme="minorEastAsia"/>
          <w:sz w:val="21"/>
          <w:szCs w:val="22"/>
        </w:rPr>
      </w:pPr>
      <w:r>
        <w:fldChar w:fldCharType="begin"/>
      </w:r>
      <w:r>
        <w:instrText xml:space="preserve"> HYPERLINK \l "_Toc94283110" </w:instrText>
      </w:r>
      <w:r>
        <w:fldChar w:fldCharType="separate"/>
      </w:r>
      <w:r>
        <w:rPr>
          <w:rStyle w:val="9"/>
        </w:rPr>
        <w:t>2.3 厅指挥部成员单位</w:t>
      </w:r>
      <w:r>
        <w:tab/>
      </w:r>
      <w:r>
        <w:fldChar w:fldCharType="begin"/>
      </w:r>
      <w:r>
        <w:instrText xml:space="preserve"> PAGEREF _Toc94283110 \h </w:instrText>
      </w:r>
      <w:r>
        <w:fldChar w:fldCharType="separate"/>
      </w:r>
      <w:r>
        <w:t>6</w:t>
      </w:r>
      <w:r>
        <w:fldChar w:fldCharType="end"/>
      </w:r>
      <w:r>
        <w:fldChar w:fldCharType="end"/>
      </w:r>
    </w:p>
    <w:p>
      <w:pPr>
        <w:pStyle w:val="7"/>
        <w:snapToGrid w:val="0"/>
        <w:spacing w:line="264" w:lineRule="auto"/>
        <w:rPr>
          <w:rFonts w:asciiTheme="minorHAnsi" w:hAnsiTheme="minorHAnsi" w:eastAsiaTheme="minorEastAsia"/>
          <w:sz w:val="21"/>
          <w:szCs w:val="22"/>
        </w:rPr>
      </w:pPr>
      <w:r>
        <w:fldChar w:fldCharType="begin"/>
      </w:r>
      <w:r>
        <w:instrText xml:space="preserve"> HYPERLINK \l "_Toc94283111" </w:instrText>
      </w:r>
      <w:r>
        <w:fldChar w:fldCharType="separate"/>
      </w:r>
      <w:r>
        <w:rPr>
          <w:rStyle w:val="9"/>
        </w:rPr>
        <w:t>2.4 应急工作组</w:t>
      </w:r>
      <w:r>
        <w:tab/>
      </w:r>
      <w:r>
        <w:fldChar w:fldCharType="begin"/>
      </w:r>
      <w:r>
        <w:instrText xml:space="preserve"> PAGEREF _Toc94283111 \h </w:instrText>
      </w:r>
      <w:r>
        <w:fldChar w:fldCharType="separate"/>
      </w:r>
      <w:r>
        <w:t>11</w:t>
      </w:r>
      <w:r>
        <w:fldChar w:fldCharType="end"/>
      </w:r>
      <w:r>
        <w:fldChar w:fldCharType="end"/>
      </w:r>
    </w:p>
    <w:p>
      <w:pPr>
        <w:pStyle w:val="7"/>
        <w:snapToGrid w:val="0"/>
        <w:spacing w:line="264" w:lineRule="auto"/>
        <w:rPr>
          <w:rFonts w:asciiTheme="minorHAnsi" w:hAnsiTheme="minorHAnsi" w:eastAsiaTheme="minorEastAsia"/>
          <w:sz w:val="21"/>
          <w:szCs w:val="22"/>
        </w:rPr>
      </w:pPr>
      <w:r>
        <w:fldChar w:fldCharType="begin"/>
      </w:r>
      <w:r>
        <w:instrText xml:space="preserve"> HYPERLINK \l "_Toc94283112" </w:instrText>
      </w:r>
      <w:r>
        <w:fldChar w:fldCharType="separate"/>
      </w:r>
      <w:r>
        <w:rPr>
          <w:rStyle w:val="9"/>
        </w:rPr>
        <w:t>2.5 前方工作指导组</w:t>
      </w:r>
      <w:r>
        <w:tab/>
      </w:r>
      <w:r>
        <w:fldChar w:fldCharType="begin"/>
      </w:r>
      <w:r>
        <w:instrText xml:space="preserve"> PAGEREF _Toc94283112 \h </w:instrText>
      </w:r>
      <w:r>
        <w:fldChar w:fldCharType="separate"/>
      </w:r>
      <w:r>
        <w:t>14</w:t>
      </w:r>
      <w:r>
        <w:fldChar w:fldCharType="end"/>
      </w:r>
      <w:r>
        <w:fldChar w:fldCharType="end"/>
      </w:r>
    </w:p>
    <w:p>
      <w:pPr>
        <w:pStyle w:val="7"/>
        <w:snapToGrid w:val="0"/>
        <w:spacing w:line="264" w:lineRule="auto"/>
        <w:rPr>
          <w:rFonts w:asciiTheme="minorHAnsi" w:hAnsiTheme="minorHAnsi" w:eastAsiaTheme="minorEastAsia"/>
          <w:sz w:val="21"/>
          <w:szCs w:val="22"/>
        </w:rPr>
      </w:pPr>
      <w:r>
        <w:fldChar w:fldCharType="begin"/>
      </w:r>
      <w:r>
        <w:instrText xml:space="preserve"> HYPERLINK \l "_Toc94283113" </w:instrText>
      </w:r>
      <w:r>
        <w:fldChar w:fldCharType="separate"/>
      </w:r>
      <w:r>
        <w:rPr>
          <w:rStyle w:val="9"/>
        </w:rPr>
        <w:t>2.6 专家组</w:t>
      </w:r>
      <w:r>
        <w:tab/>
      </w:r>
      <w:r>
        <w:fldChar w:fldCharType="begin"/>
      </w:r>
      <w:r>
        <w:instrText xml:space="preserve"> PAGEREF _Toc94283113 \h </w:instrText>
      </w:r>
      <w:r>
        <w:fldChar w:fldCharType="separate"/>
      </w:r>
      <w:r>
        <w:t>14</w:t>
      </w:r>
      <w:r>
        <w:fldChar w:fldCharType="end"/>
      </w:r>
      <w:r>
        <w:fldChar w:fldCharType="end"/>
      </w:r>
    </w:p>
    <w:p>
      <w:pPr>
        <w:pStyle w:val="7"/>
        <w:snapToGrid w:val="0"/>
        <w:spacing w:line="264" w:lineRule="auto"/>
        <w:rPr>
          <w:rFonts w:asciiTheme="minorHAnsi" w:hAnsiTheme="minorHAnsi" w:eastAsiaTheme="minorEastAsia"/>
          <w:sz w:val="21"/>
          <w:szCs w:val="22"/>
        </w:rPr>
      </w:pPr>
      <w:r>
        <w:fldChar w:fldCharType="begin"/>
      </w:r>
      <w:r>
        <w:instrText xml:space="preserve"> HYPERLINK \l "_Toc94283114" </w:instrText>
      </w:r>
      <w:r>
        <w:fldChar w:fldCharType="separate"/>
      </w:r>
      <w:r>
        <w:rPr>
          <w:rStyle w:val="9"/>
        </w:rPr>
        <w:t>2.7 市、县交通运输应急指挥机构</w:t>
      </w:r>
      <w:r>
        <w:tab/>
      </w:r>
      <w:r>
        <w:fldChar w:fldCharType="begin"/>
      </w:r>
      <w:r>
        <w:instrText xml:space="preserve"> PAGEREF _Toc94283114 \h </w:instrText>
      </w:r>
      <w:r>
        <w:fldChar w:fldCharType="separate"/>
      </w:r>
      <w:r>
        <w:t>14</w:t>
      </w:r>
      <w:r>
        <w:fldChar w:fldCharType="end"/>
      </w:r>
      <w:r>
        <w:fldChar w:fldCharType="end"/>
      </w:r>
    </w:p>
    <w:p>
      <w:pPr>
        <w:pStyle w:val="6"/>
        <w:spacing w:line="264" w:lineRule="auto"/>
        <w:rPr>
          <w:rFonts w:asciiTheme="minorHAnsi" w:hAnsiTheme="minorHAnsi" w:eastAsiaTheme="minorEastAsia"/>
          <w:sz w:val="21"/>
          <w:szCs w:val="22"/>
        </w:rPr>
      </w:pPr>
      <w:r>
        <w:fldChar w:fldCharType="begin"/>
      </w:r>
      <w:r>
        <w:instrText xml:space="preserve"> HYPERLINK \l "_Toc94283115" </w:instrText>
      </w:r>
      <w:r>
        <w:fldChar w:fldCharType="separate"/>
      </w:r>
      <w:r>
        <w:rPr>
          <w:rStyle w:val="9"/>
        </w:rPr>
        <w:t>3 预防与预警</w:t>
      </w:r>
      <w:r>
        <w:tab/>
      </w:r>
      <w:r>
        <w:fldChar w:fldCharType="begin"/>
      </w:r>
      <w:r>
        <w:instrText xml:space="preserve"> PAGEREF _Toc94283115 \h </w:instrText>
      </w:r>
      <w:r>
        <w:fldChar w:fldCharType="separate"/>
      </w:r>
      <w:r>
        <w:t>15</w:t>
      </w:r>
      <w:r>
        <w:fldChar w:fldCharType="end"/>
      </w:r>
      <w:r>
        <w:fldChar w:fldCharType="end"/>
      </w:r>
    </w:p>
    <w:p>
      <w:pPr>
        <w:pStyle w:val="7"/>
        <w:snapToGrid w:val="0"/>
        <w:spacing w:line="264" w:lineRule="auto"/>
        <w:rPr>
          <w:rFonts w:asciiTheme="minorHAnsi" w:hAnsiTheme="minorHAnsi" w:eastAsiaTheme="minorEastAsia"/>
          <w:sz w:val="21"/>
          <w:szCs w:val="22"/>
        </w:rPr>
      </w:pPr>
      <w:r>
        <w:fldChar w:fldCharType="begin"/>
      </w:r>
      <w:r>
        <w:instrText xml:space="preserve"> HYPERLINK \l "_Toc94283116" </w:instrText>
      </w:r>
      <w:r>
        <w:fldChar w:fldCharType="separate"/>
      </w:r>
      <w:r>
        <w:rPr>
          <w:rStyle w:val="9"/>
        </w:rPr>
        <w:t>3.1 预警信息接收</w:t>
      </w:r>
      <w:r>
        <w:tab/>
      </w:r>
      <w:r>
        <w:fldChar w:fldCharType="begin"/>
      </w:r>
      <w:r>
        <w:instrText xml:space="preserve"> PAGEREF _Toc94283116 \h </w:instrText>
      </w:r>
      <w:r>
        <w:fldChar w:fldCharType="separate"/>
      </w:r>
      <w:r>
        <w:t>15</w:t>
      </w:r>
      <w:r>
        <w:fldChar w:fldCharType="end"/>
      </w:r>
      <w:r>
        <w:fldChar w:fldCharType="end"/>
      </w:r>
    </w:p>
    <w:p>
      <w:pPr>
        <w:pStyle w:val="7"/>
        <w:snapToGrid w:val="0"/>
        <w:spacing w:line="264" w:lineRule="auto"/>
        <w:rPr>
          <w:rFonts w:asciiTheme="minorHAnsi" w:hAnsiTheme="minorHAnsi" w:eastAsiaTheme="minorEastAsia"/>
          <w:sz w:val="21"/>
          <w:szCs w:val="22"/>
        </w:rPr>
      </w:pPr>
      <w:r>
        <w:fldChar w:fldCharType="begin"/>
      </w:r>
      <w:r>
        <w:instrText xml:space="preserve"> HYPERLINK \l "_Toc94283117" </w:instrText>
      </w:r>
      <w:r>
        <w:fldChar w:fldCharType="separate"/>
      </w:r>
      <w:r>
        <w:rPr>
          <w:rStyle w:val="9"/>
        </w:rPr>
        <w:t>3.2 预警转发</w:t>
      </w:r>
      <w:r>
        <w:tab/>
      </w:r>
      <w:r>
        <w:fldChar w:fldCharType="begin"/>
      </w:r>
      <w:r>
        <w:instrText xml:space="preserve"> PAGEREF _Toc94283117 \h </w:instrText>
      </w:r>
      <w:r>
        <w:fldChar w:fldCharType="separate"/>
      </w:r>
      <w:r>
        <w:t>16</w:t>
      </w:r>
      <w:r>
        <w:fldChar w:fldCharType="end"/>
      </w:r>
      <w:r>
        <w:fldChar w:fldCharType="end"/>
      </w:r>
    </w:p>
    <w:p>
      <w:pPr>
        <w:pStyle w:val="7"/>
        <w:snapToGrid w:val="0"/>
        <w:spacing w:line="264" w:lineRule="auto"/>
        <w:rPr>
          <w:rFonts w:asciiTheme="minorHAnsi" w:hAnsiTheme="minorHAnsi" w:eastAsiaTheme="minorEastAsia"/>
          <w:sz w:val="21"/>
          <w:szCs w:val="22"/>
        </w:rPr>
      </w:pPr>
      <w:r>
        <w:fldChar w:fldCharType="begin"/>
      </w:r>
      <w:r>
        <w:instrText xml:space="preserve"> HYPERLINK \l "_Toc94283118" </w:instrText>
      </w:r>
      <w:r>
        <w:fldChar w:fldCharType="separate"/>
      </w:r>
      <w:r>
        <w:rPr>
          <w:rStyle w:val="9"/>
        </w:rPr>
        <w:t>3.3 预警响应</w:t>
      </w:r>
      <w:r>
        <w:tab/>
      </w:r>
      <w:r>
        <w:fldChar w:fldCharType="begin"/>
      </w:r>
      <w:r>
        <w:instrText xml:space="preserve"> PAGEREF _Toc94283118 \h </w:instrText>
      </w:r>
      <w:r>
        <w:fldChar w:fldCharType="separate"/>
      </w:r>
      <w:r>
        <w:t>16</w:t>
      </w:r>
      <w:r>
        <w:fldChar w:fldCharType="end"/>
      </w:r>
      <w:r>
        <w:fldChar w:fldCharType="end"/>
      </w:r>
    </w:p>
    <w:p>
      <w:pPr>
        <w:pStyle w:val="6"/>
        <w:spacing w:line="264" w:lineRule="auto"/>
        <w:rPr>
          <w:rFonts w:asciiTheme="minorHAnsi" w:hAnsiTheme="minorHAnsi" w:eastAsiaTheme="minorEastAsia"/>
          <w:sz w:val="21"/>
          <w:szCs w:val="22"/>
        </w:rPr>
      </w:pPr>
      <w:r>
        <w:fldChar w:fldCharType="begin"/>
      </w:r>
      <w:r>
        <w:instrText xml:space="preserve"> HYPERLINK \l "_Toc94283119" </w:instrText>
      </w:r>
      <w:r>
        <w:fldChar w:fldCharType="separate"/>
      </w:r>
      <w:r>
        <w:rPr>
          <w:rStyle w:val="9"/>
        </w:rPr>
        <w:t>4 信息报告</w:t>
      </w:r>
      <w:r>
        <w:tab/>
      </w:r>
      <w:r>
        <w:fldChar w:fldCharType="begin"/>
      </w:r>
      <w:r>
        <w:instrText xml:space="preserve"> PAGEREF _Toc94283119 \h </w:instrText>
      </w:r>
      <w:r>
        <w:fldChar w:fldCharType="separate"/>
      </w:r>
      <w:r>
        <w:t>18</w:t>
      </w:r>
      <w:r>
        <w:fldChar w:fldCharType="end"/>
      </w:r>
      <w:r>
        <w:fldChar w:fldCharType="end"/>
      </w:r>
    </w:p>
    <w:p>
      <w:pPr>
        <w:pStyle w:val="7"/>
        <w:snapToGrid w:val="0"/>
        <w:spacing w:line="264" w:lineRule="auto"/>
        <w:rPr>
          <w:rFonts w:asciiTheme="minorHAnsi" w:hAnsiTheme="minorHAnsi" w:eastAsiaTheme="minorEastAsia"/>
          <w:sz w:val="21"/>
          <w:szCs w:val="22"/>
        </w:rPr>
      </w:pPr>
      <w:r>
        <w:fldChar w:fldCharType="begin"/>
      </w:r>
      <w:r>
        <w:instrText xml:space="preserve"> HYPERLINK \l "_Toc94283120" </w:instrText>
      </w:r>
      <w:r>
        <w:fldChar w:fldCharType="separate"/>
      </w:r>
      <w:r>
        <w:rPr>
          <w:rStyle w:val="9"/>
        </w:rPr>
        <w:t>4.1 报告程序</w:t>
      </w:r>
      <w:r>
        <w:tab/>
      </w:r>
      <w:r>
        <w:fldChar w:fldCharType="begin"/>
      </w:r>
      <w:r>
        <w:instrText xml:space="preserve"> PAGEREF _Toc94283120 \h </w:instrText>
      </w:r>
      <w:r>
        <w:fldChar w:fldCharType="separate"/>
      </w:r>
      <w:r>
        <w:t>18</w:t>
      </w:r>
      <w:r>
        <w:fldChar w:fldCharType="end"/>
      </w:r>
      <w:r>
        <w:fldChar w:fldCharType="end"/>
      </w:r>
    </w:p>
    <w:p>
      <w:pPr>
        <w:pStyle w:val="7"/>
        <w:snapToGrid w:val="0"/>
        <w:spacing w:line="264" w:lineRule="auto"/>
        <w:rPr>
          <w:rFonts w:asciiTheme="minorHAnsi" w:hAnsiTheme="minorHAnsi" w:eastAsiaTheme="minorEastAsia"/>
          <w:sz w:val="21"/>
          <w:szCs w:val="22"/>
        </w:rPr>
      </w:pPr>
      <w:r>
        <w:fldChar w:fldCharType="begin"/>
      </w:r>
      <w:r>
        <w:instrText xml:space="preserve"> HYPERLINK \l "_Toc94283121" </w:instrText>
      </w:r>
      <w:r>
        <w:fldChar w:fldCharType="separate"/>
      </w:r>
      <w:r>
        <w:rPr>
          <w:rStyle w:val="9"/>
        </w:rPr>
        <w:t>4.2 报告内容</w:t>
      </w:r>
      <w:r>
        <w:tab/>
      </w:r>
      <w:r>
        <w:fldChar w:fldCharType="begin"/>
      </w:r>
      <w:r>
        <w:instrText xml:space="preserve"> PAGEREF _Toc94283121 \h </w:instrText>
      </w:r>
      <w:r>
        <w:fldChar w:fldCharType="separate"/>
      </w:r>
      <w:r>
        <w:t>18</w:t>
      </w:r>
      <w:r>
        <w:fldChar w:fldCharType="end"/>
      </w:r>
      <w:r>
        <w:fldChar w:fldCharType="end"/>
      </w:r>
    </w:p>
    <w:p>
      <w:pPr>
        <w:pStyle w:val="6"/>
        <w:spacing w:line="264" w:lineRule="auto"/>
        <w:rPr>
          <w:rFonts w:asciiTheme="minorHAnsi" w:hAnsiTheme="minorHAnsi" w:eastAsiaTheme="minorEastAsia"/>
          <w:sz w:val="21"/>
          <w:szCs w:val="22"/>
        </w:rPr>
      </w:pPr>
      <w:r>
        <w:fldChar w:fldCharType="begin"/>
      </w:r>
      <w:r>
        <w:instrText xml:space="preserve"> HYPERLINK \l "_Toc94283122" </w:instrText>
      </w:r>
      <w:r>
        <w:fldChar w:fldCharType="separate"/>
      </w:r>
      <w:r>
        <w:rPr>
          <w:rStyle w:val="9"/>
        </w:rPr>
        <w:t>5 应急响应</w:t>
      </w:r>
      <w:r>
        <w:tab/>
      </w:r>
      <w:r>
        <w:fldChar w:fldCharType="begin"/>
      </w:r>
      <w:r>
        <w:instrText xml:space="preserve"> PAGEREF _Toc94283122 \h </w:instrText>
      </w:r>
      <w:r>
        <w:fldChar w:fldCharType="separate"/>
      </w:r>
      <w:r>
        <w:t>19</w:t>
      </w:r>
      <w:r>
        <w:fldChar w:fldCharType="end"/>
      </w:r>
      <w:r>
        <w:fldChar w:fldCharType="end"/>
      </w:r>
    </w:p>
    <w:p>
      <w:pPr>
        <w:pStyle w:val="7"/>
        <w:snapToGrid w:val="0"/>
        <w:spacing w:line="264" w:lineRule="auto"/>
        <w:rPr>
          <w:rFonts w:asciiTheme="minorHAnsi" w:hAnsiTheme="minorHAnsi" w:eastAsiaTheme="minorEastAsia"/>
          <w:sz w:val="21"/>
          <w:szCs w:val="22"/>
        </w:rPr>
      </w:pPr>
      <w:r>
        <w:fldChar w:fldCharType="begin"/>
      </w:r>
      <w:r>
        <w:instrText xml:space="preserve"> HYPERLINK \l "_Toc94283123" </w:instrText>
      </w:r>
      <w:r>
        <w:fldChar w:fldCharType="separate"/>
      </w:r>
      <w:r>
        <w:rPr>
          <w:rStyle w:val="9"/>
        </w:rPr>
        <w:t>5.1 先期处置</w:t>
      </w:r>
      <w:r>
        <w:tab/>
      </w:r>
      <w:r>
        <w:fldChar w:fldCharType="begin"/>
      </w:r>
      <w:r>
        <w:instrText xml:space="preserve"> PAGEREF _Toc94283123 \h </w:instrText>
      </w:r>
      <w:r>
        <w:fldChar w:fldCharType="separate"/>
      </w:r>
      <w:r>
        <w:t>19</w:t>
      </w:r>
      <w:r>
        <w:fldChar w:fldCharType="end"/>
      </w:r>
      <w:r>
        <w:fldChar w:fldCharType="end"/>
      </w:r>
    </w:p>
    <w:p>
      <w:pPr>
        <w:pStyle w:val="7"/>
        <w:snapToGrid w:val="0"/>
        <w:spacing w:line="264" w:lineRule="auto"/>
        <w:rPr>
          <w:rFonts w:asciiTheme="minorHAnsi" w:hAnsiTheme="minorHAnsi" w:eastAsiaTheme="minorEastAsia"/>
          <w:sz w:val="21"/>
          <w:szCs w:val="22"/>
        </w:rPr>
      </w:pPr>
      <w:r>
        <w:fldChar w:fldCharType="begin"/>
      </w:r>
      <w:r>
        <w:instrText xml:space="preserve"> HYPERLINK \l "_Toc94283124" </w:instrText>
      </w:r>
      <w:r>
        <w:fldChar w:fldCharType="separate"/>
      </w:r>
      <w:r>
        <w:rPr>
          <w:rStyle w:val="9"/>
        </w:rPr>
        <w:t>5.2 响应分级</w:t>
      </w:r>
      <w:r>
        <w:tab/>
      </w:r>
      <w:r>
        <w:fldChar w:fldCharType="begin"/>
      </w:r>
      <w:r>
        <w:instrText xml:space="preserve"> PAGEREF _Toc94283124 \h </w:instrText>
      </w:r>
      <w:r>
        <w:fldChar w:fldCharType="separate"/>
      </w:r>
      <w:r>
        <w:t>19</w:t>
      </w:r>
      <w:r>
        <w:fldChar w:fldCharType="end"/>
      </w:r>
      <w:r>
        <w:fldChar w:fldCharType="end"/>
      </w:r>
    </w:p>
    <w:p>
      <w:pPr>
        <w:pStyle w:val="7"/>
        <w:snapToGrid w:val="0"/>
        <w:spacing w:line="264" w:lineRule="auto"/>
        <w:rPr>
          <w:rFonts w:asciiTheme="minorHAnsi" w:hAnsiTheme="minorHAnsi" w:eastAsiaTheme="minorEastAsia"/>
          <w:sz w:val="21"/>
          <w:szCs w:val="22"/>
        </w:rPr>
      </w:pPr>
      <w:r>
        <w:fldChar w:fldCharType="begin"/>
      </w:r>
      <w:r>
        <w:instrText xml:space="preserve"> HYPERLINK \l "_Toc94283125" </w:instrText>
      </w:r>
      <w:r>
        <w:fldChar w:fldCharType="separate"/>
      </w:r>
      <w:r>
        <w:rPr>
          <w:rStyle w:val="9"/>
        </w:rPr>
        <w:t>5.3 响应启动程序</w:t>
      </w:r>
      <w:r>
        <w:tab/>
      </w:r>
      <w:r>
        <w:fldChar w:fldCharType="begin"/>
      </w:r>
      <w:r>
        <w:instrText xml:space="preserve"> PAGEREF _Toc94283125 \h </w:instrText>
      </w:r>
      <w:r>
        <w:fldChar w:fldCharType="separate"/>
      </w:r>
      <w:r>
        <w:t>19</w:t>
      </w:r>
      <w:r>
        <w:fldChar w:fldCharType="end"/>
      </w:r>
      <w:r>
        <w:fldChar w:fldCharType="end"/>
      </w:r>
    </w:p>
    <w:p>
      <w:pPr>
        <w:pStyle w:val="7"/>
        <w:snapToGrid w:val="0"/>
        <w:spacing w:line="264" w:lineRule="auto"/>
        <w:rPr>
          <w:rFonts w:asciiTheme="minorHAnsi" w:hAnsiTheme="minorHAnsi" w:eastAsiaTheme="minorEastAsia"/>
          <w:sz w:val="21"/>
          <w:szCs w:val="22"/>
        </w:rPr>
      </w:pPr>
      <w:r>
        <w:fldChar w:fldCharType="begin"/>
      </w:r>
      <w:r>
        <w:instrText xml:space="preserve"> HYPERLINK \l "_Toc94283126" </w:instrText>
      </w:r>
      <w:r>
        <w:fldChar w:fldCharType="separate"/>
      </w:r>
      <w:r>
        <w:rPr>
          <w:rStyle w:val="9"/>
        </w:rPr>
        <w:t>5.4 Ⅰ级、Ⅱ级响应</w:t>
      </w:r>
      <w:r>
        <w:tab/>
      </w:r>
      <w:r>
        <w:fldChar w:fldCharType="begin"/>
      </w:r>
      <w:r>
        <w:instrText xml:space="preserve"> PAGEREF _Toc94283126 \h </w:instrText>
      </w:r>
      <w:r>
        <w:fldChar w:fldCharType="separate"/>
      </w:r>
      <w:r>
        <w:t>19</w:t>
      </w:r>
      <w:r>
        <w:fldChar w:fldCharType="end"/>
      </w:r>
      <w:r>
        <w:fldChar w:fldCharType="end"/>
      </w:r>
    </w:p>
    <w:p>
      <w:pPr>
        <w:pStyle w:val="7"/>
        <w:snapToGrid w:val="0"/>
        <w:spacing w:line="264" w:lineRule="auto"/>
        <w:rPr>
          <w:rFonts w:asciiTheme="minorHAnsi" w:hAnsiTheme="minorHAnsi" w:eastAsiaTheme="minorEastAsia"/>
          <w:sz w:val="21"/>
          <w:szCs w:val="22"/>
        </w:rPr>
      </w:pPr>
      <w:r>
        <w:fldChar w:fldCharType="begin"/>
      </w:r>
      <w:r>
        <w:instrText xml:space="preserve"> HYPERLINK \l "_Toc94283127" </w:instrText>
      </w:r>
      <w:r>
        <w:fldChar w:fldCharType="separate"/>
      </w:r>
      <w:r>
        <w:rPr>
          <w:rStyle w:val="9"/>
        </w:rPr>
        <w:t>5.5 Ⅲ级、Ⅳ级响应</w:t>
      </w:r>
      <w:r>
        <w:tab/>
      </w:r>
      <w:r>
        <w:fldChar w:fldCharType="begin"/>
      </w:r>
      <w:r>
        <w:instrText xml:space="preserve"> PAGEREF _Toc94283127 \h </w:instrText>
      </w:r>
      <w:r>
        <w:fldChar w:fldCharType="separate"/>
      </w:r>
      <w:r>
        <w:t>21</w:t>
      </w:r>
      <w:r>
        <w:fldChar w:fldCharType="end"/>
      </w:r>
      <w:r>
        <w:fldChar w:fldCharType="end"/>
      </w:r>
    </w:p>
    <w:p>
      <w:pPr>
        <w:pStyle w:val="7"/>
        <w:snapToGrid w:val="0"/>
        <w:spacing w:line="264" w:lineRule="auto"/>
        <w:rPr>
          <w:rFonts w:asciiTheme="minorHAnsi" w:hAnsiTheme="minorHAnsi" w:eastAsiaTheme="minorEastAsia"/>
          <w:sz w:val="21"/>
          <w:szCs w:val="22"/>
        </w:rPr>
      </w:pPr>
      <w:r>
        <w:fldChar w:fldCharType="begin"/>
      </w:r>
      <w:r>
        <w:instrText xml:space="preserve"> HYPERLINK \l "_Toc94283128" </w:instrText>
      </w:r>
      <w:r>
        <w:fldChar w:fldCharType="separate"/>
      </w:r>
      <w:r>
        <w:rPr>
          <w:rStyle w:val="9"/>
        </w:rPr>
        <w:t>5.6 信息发布</w:t>
      </w:r>
      <w:r>
        <w:tab/>
      </w:r>
      <w:r>
        <w:fldChar w:fldCharType="begin"/>
      </w:r>
      <w:r>
        <w:instrText xml:space="preserve"> PAGEREF _Toc94283128 \h </w:instrText>
      </w:r>
      <w:r>
        <w:fldChar w:fldCharType="separate"/>
      </w:r>
      <w:r>
        <w:t>22</w:t>
      </w:r>
      <w:r>
        <w:fldChar w:fldCharType="end"/>
      </w:r>
      <w:r>
        <w:fldChar w:fldCharType="end"/>
      </w:r>
    </w:p>
    <w:p>
      <w:pPr>
        <w:pStyle w:val="7"/>
        <w:snapToGrid w:val="0"/>
        <w:spacing w:line="264" w:lineRule="auto"/>
        <w:rPr>
          <w:rFonts w:asciiTheme="minorHAnsi" w:hAnsiTheme="minorHAnsi" w:eastAsiaTheme="minorEastAsia"/>
          <w:sz w:val="21"/>
          <w:szCs w:val="22"/>
        </w:rPr>
      </w:pPr>
      <w:r>
        <w:fldChar w:fldCharType="begin"/>
      </w:r>
      <w:r>
        <w:instrText xml:space="preserve"> HYPERLINK \l "_Toc94283129" </w:instrText>
      </w:r>
      <w:r>
        <w:fldChar w:fldCharType="separate"/>
      </w:r>
      <w:r>
        <w:rPr>
          <w:rStyle w:val="9"/>
        </w:rPr>
        <w:t>5.7 应急响应变更与终止</w:t>
      </w:r>
      <w:r>
        <w:tab/>
      </w:r>
      <w:r>
        <w:fldChar w:fldCharType="begin"/>
      </w:r>
      <w:r>
        <w:instrText xml:space="preserve"> PAGEREF _Toc94283129 \h </w:instrText>
      </w:r>
      <w:r>
        <w:fldChar w:fldCharType="separate"/>
      </w:r>
      <w:r>
        <w:t>22</w:t>
      </w:r>
      <w:r>
        <w:fldChar w:fldCharType="end"/>
      </w:r>
      <w:r>
        <w:fldChar w:fldCharType="end"/>
      </w:r>
    </w:p>
    <w:p>
      <w:pPr>
        <w:pStyle w:val="6"/>
        <w:spacing w:line="264" w:lineRule="auto"/>
        <w:rPr>
          <w:rFonts w:asciiTheme="minorHAnsi" w:hAnsiTheme="minorHAnsi" w:eastAsiaTheme="minorEastAsia"/>
          <w:sz w:val="21"/>
          <w:szCs w:val="22"/>
        </w:rPr>
      </w:pPr>
      <w:r>
        <w:fldChar w:fldCharType="begin"/>
      </w:r>
      <w:r>
        <w:instrText xml:space="preserve"> HYPERLINK \l "_Toc94283130" </w:instrText>
      </w:r>
      <w:r>
        <w:fldChar w:fldCharType="separate"/>
      </w:r>
      <w:r>
        <w:rPr>
          <w:rStyle w:val="9"/>
        </w:rPr>
        <w:t>6 善后工作</w:t>
      </w:r>
      <w:r>
        <w:tab/>
      </w:r>
      <w:r>
        <w:fldChar w:fldCharType="begin"/>
      </w:r>
      <w:r>
        <w:instrText xml:space="preserve"> PAGEREF _Toc94283130 \h </w:instrText>
      </w:r>
      <w:r>
        <w:fldChar w:fldCharType="separate"/>
      </w:r>
      <w:r>
        <w:t>22</w:t>
      </w:r>
      <w:r>
        <w:fldChar w:fldCharType="end"/>
      </w:r>
      <w:r>
        <w:fldChar w:fldCharType="end"/>
      </w:r>
    </w:p>
    <w:p>
      <w:pPr>
        <w:pStyle w:val="7"/>
        <w:snapToGrid w:val="0"/>
        <w:spacing w:line="264" w:lineRule="auto"/>
        <w:rPr>
          <w:rFonts w:asciiTheme="minorHAnsi" w:hAnsiTheme="minorHAnsi" w:eastAsiaTheme="minorEastAsia"/>
          <w:sz w:val="21"/>
          <w:szCs w:val="22"/>
        </w:rPr>
      </w:pPr>
      <w:r>
        <w:fldChar w:fldCharType="begin"/>
      </w:r>
      <w:r>
        <w:instrText xml:space="preserve"> HYPERLINK \l "_Toc94283131" </w:instrText>
      </w:r>
      <w:r>
        <w:fldChar w:fldCharType="separate"/>
      </w:r>
      <w:r>
        <w:rPr>
          <w:rStyle w:val="9"/>
        </w:rPr>
        <w:t>6.1 善后处置</w:t>
      </w:r>
      <w:r>
        <w:tab/>
      </w:r>
      <w:r>
        <w:fldChar w:fldCharType="begin"/>
      </w:r>
      <w:r>
        <w:instrText xml:space="preserve"> PAGEREF _Toc94283131 \h </w:instrText>
      </w:r>
      <w:r>
        <w:fldChar w:fldCharType="separate"/>
      </w:r>
      <w:r>
        <w:t>22</w:t>
      </w:r>
      <w:r>
        <w:fldChar w:fldCharType="end"/>
      </w:r>
      <w:r>
        <w:fldChar w:fldCharType="end"/>
      </w:r>
    </w:p>
    <w:p>
      <w:pPr>
        <w:pStyle w:val="7"/>
        <w:snapToGrid w:val="0"/>
        <w:spacing w:line="264" w:lineRule="auto"/>
        <w:rPr>
          <w:rFonts w:asciiTheme="minorHAnsi" w:hAnsiTheme="minorHAnsi" w:eastAsiaTheme="minorEastAsia"/>
          <w:sz w:val="21"/>
          <w:szCs w:val="22"/>
        </w:rPr>
      </w:pPr>
      <w:r>
        <w:fldChar w:fldCharType="begin"/>
      </w:r>
      <w:r>
        <w:instrText xml:space="preserve"> HYPERLINK \l "_Toc94283132" </w:instrText>
      </w:r>
      <w:r>
        <w:fldChar w:fldCharType="separate"/>
      </w:r>
      <w:r>
        <w:rPr>
          <w:rStyle w:val="9"/>
        </w:rPr>
        <w:t>6.2 调查评估</w:t>
      </w:r>
      <w:r>
        <w:tab/>
      </w:r>
      <w:r>
        <w:fldChar w:fldCharType="begin"/>
      </w:r>
      <w:r>
        <w:instrText xml:space="preserve"> PAGEREF _Toc94283132 \h </w:instrText>
      </w:r>
      <w:r>
        <w:fldChar w:fldCharType="separate"/>
      </w:r>
      <w:r>
        <w:t>23</w:t>
      </w:r>
      <w:r>
        <w:fldChar w:fldCharType="end"/>
      </w:r>
      <w:r>
        <w:fldChar w:fldCharType="end"/>
      </w:r>
    </w:p>
    <w:p>
      <w:pPr>
        <w:pStyle w:val="7"/>
        <w:snapToGrid w:val="0"/>
        <w:spacing w:line="264" w:lineRule="auto"/>
        <w:rPr>
          <w:rFonts w:asciiTheme="minorHAnsi" w:hAnsiTheme="minorHAnsi" w:eastAsiaTheme="minorEastAsia"/>
          <w:sz w:val="21"/>
          <w:szCs w:val="22"/>
        </w:rPr>
      </w:pPr>
      <w:r>
        <w:fldChar w:fldCharType="begin"/>
      </w:r>
      <w:r>
        <w:instrText xml:space="preserve"> HYPERLINK \l "_Toc94283133" </w:instrText>
      </w:r>
      <w:r>
        <w:fldChar w:fldCharType="separate"/>
      </w:r>
      <w:r>
        <w:rPr>
          <w:rStyle w:val="9"/>
        </w:rPr>
        <w:t>6.3 恢复重建</w:t>
      </w:r>
      <w:r>
        <w:tab/>
      </w:r>
      <w:r>
        <w:fldChar w:fldCharType="begin"/>
      </w:r>
      <w:r>
        <w:instrText xml:space="preserve"> PAGEREF _Toc94283133 \h </w:instrText>
      </w:r>
      <w:r>
        <w:fldChar w:fldCharType="separate"/>
      </w:r>
      <w:r>
        <w:t>23</w:t>
      </w:r>
      <w:r>
        <w:fldChar w:fldCharType="end"/>
      </w:r>
      <w:r>
        <w:fldChar w:fldCharType="end"/>
      </w:r>
    </w:p>
    <w:p>
      <w:pPr>
        <w:pStyle w:val="6"/>
        <w:spacing w:line="264" w:lineRule="auto"/>
        <w:rPr>
          <w:rFonts w:asciiTheme="minorHAnsi" w:hAnsiTheme="minorHAnsi" w:eastAsiaTheme="minorEastAsia"/>
          <w:sz w:val="21"/>
          <w:szCs w:val="22"/>
        </w:rPr>
      </w:pPr>
      <w:r>
        <w:fldChar w:fldCharType="begin"/>
      </w:r>
      <w:r>
        <w:instrText xml:space="preserve"> HYPERLINK \l "_Toc94283134" </w:instrText>
      </w:r>
      <w:r>
        <w:fldChar w:fldCharType="separate"/>
      </w:r>
      <w:r>
        <w:rPr>
          <w:rStyle w:val="9"/>
        </w:rPr>
        <w:t>7 应急保障</w:t>
      </w:r>
      <w:r>
        <w:tab/>
      </w:r>
      <w:r>
        <w:fldChar w:fldCharType="begin"/>
      </w:r>
      <w:r>
        <w:instrText xml:space="preserve"> PAGEREF _Toc94283134 \h </w:instrText>
      </w:r>
      <w:r>
        <w:fldChar w:fldCharType="separate"/>
      </w:r>
      <w:r>
        <w:t>23</w:t>
      </w:r>
      <w:r>
        <w:fldChar w:fldCharType="end"/>
      </w:r>
      <w:r>
        <w:fldChar w:fldCharType="end"/>
      </w:r>
    </w:p>
    <w:p>
      <w:pPr>
        <w:pStyle w:val="7"/>
        <w:snapToGrid w:val="0"/>
        <w:spacing w:line="264" w:lineRule="auto"/>
        <w:rPr>
          <w:rFonts w:asciiTheme="minorHAnsi" w:hAnsiTheme="minorHAnsi" w:eastAsiaTheme="minorEastAsia"/>
          <w:sz w:val="21"/>
          <w:szCs w:val="22"/>
        </w:rPr>
      </w:pPr>
      <w:r>
        <w:fldChar w:fldCharType="begin"/>
      </w:r>
      <w:r>
        <w:instrText xml:space="preserve"> HYPERLINK \l "_Toc94283135" </w:instrText>
      </w:r>
      <w:r>
        <w:fldChar w:fldCharType="separate"/>
      </w:r>
      <w:r>
        <w:rPr>
          <w:rStyle w:val="9"/>
        </w:rPr>
        <w:t>7.1 队伍保障</w:t>
      </w:r>
      <w:r>
        <w:tab/>
      </w:r>
      <w:r>
        <w:fldChar w:fldCharType="begin"/>
      </w:r>
      <w:r>
        <w:instrText xml:space="preserve"> PAGEREF _Toc94283135 \h </w:instrText>
      </w:r>
      <w:r>
        <w:fldChar w:fldCharType="separate"/>
      </w:r>
      <w:r>
        <w:t>23</w:t>
      </w:r>
      <w:r>
        <w:fldChar w:fldCharType="end"/>
      </w:r>
      <w:r>
        <w:fldChar w:fldCharType="end"/>
      </w:r>
    </w:p>
    <w:p>
      <w:pPr>
        <w:pStyle w:val="7"/>
        <w:snapToGrid w:val="0"/>
        <w:spacing w:line="264" w:lineRule="auto"/>
        <w:rPr>
          <w:rFonts w:asciiTheme="minorHAnsi" w:hAnsiTheme="minorHAnsi" w:eastAsiaTheme="minorEastAsia"/>
          <w:sz w:val="21"/>
          <w:szCs w:val="22"/>
        </w:rPr>
      </w:pPr>
      <w:r>
        <w:fldChar w:fldCharType="begin"/>
      </w:r>
      <w:r>
        <w:instrText xml:space="preserve"> HYPERLINK \l "_Toc94283136" </w:instrText>
      </w:r>
      <w:r>
        <w:fldChar w:fldCharType="separate"/>
      </w:r>
      <w:r>
        <w:rPr>
          <w:rStyle w:val="9"/>
        </w:rPr>
        <w:t>7.2 资金保障</w:t>
      </w:r>
      <w:r>
        <w:tab/>
      </w:r>
      <w:r>
        <w:fldChar w:fldCharType="begin"/>
      </w:r>
      <w:r>
        <w:instrText xml:space="preserve"> PAGEREF _Toc94283136 \h </w:instrText>
      </w:r>
      <w:r>
        <w:fldChar w:fldCharType="separate"/>
      </w:r>
      <w:r>
        <w:t>24</w:t>
      </w:r>
      <w:r>
        <w:fldChar w:fldCharType="end"/>
      </w:r>
      <w:r>
        <w:fldChar w:fldCharType="end"/>
      </w:r>
    </w:p>
    <w:p>
      <w:pPr>
        <w:pStyle w:val="7"/>
        <w:snapToGrid w:val="0"/>
        <w:spacing w:line="264" w:lineRule="auto"/>
        <w:rPr>
          <w:rFonts w:asciiTheme="minorHAnsi" w:hAnsiTheme="minorHAnsi" w:eastAsiaTheme="minorEastAsia"/>
          <w:sz w:val="21"/>
          <w:szCs w:val="22"/>
        </w:rPr>
      </w:pPr>
      <w:r>
        <w:fldChar w:fldCharType="begin"/>
      </w:r>
      <w:r>
        <w:instrText xml:space="preserve"> HYPERLINK \l "_Toc94283137" </w:instrText>
      </w:r>
      <w:r>
        <w:fldChar w:fldCharType="separate"/>
      </w:r>
      <w:r>
        <w:rPr>
          <w:rStyle w:val="9"/>
        </w:rPr>
        <w:t>7.3 通信保障</w:t>
      </w:r>
      <w:r>
        <w:tab/>
      </w:r>
      <w:r>
        <w:fldChar w:fldCharType="begin"/>
      </w:r>
      <w:r>
        <w:instrText xml:space="preserve"> PAGEREF _Toc94283137 \h </w:instrText>
      </w:r>
      <w:r>
        <w:fldChar w:fldCharType="separate"/>
      </w:r>
      <w:r>
        <w:t>24</w:t>
      </w:r>
      <w:r>
        <w:fldChar w:fldCharType="end"/>
      </w:r>
      <w:r>
        <w:fldChar w:fldCharType="end"/>
      </w:r>
    </w:p>
    <w:p>
      <w:pPr>
        <w:pStyle w:val="7"/>
        <w:snapToGrid w:val="0"/>
        <w:spacing w:line="264" w:lineRule="auto"/>
        <w:rPr>
          <w:rFonts w:asciiTheme="minorHAnsi" w:hAnsiTheme="minorHAnsi" w:eastAsiaTheme="minorEastAsia"/>
          <w:sz w:val="21"/>
          <w:szCs w:val="22"/>
        </w:rPr>
      </w:pPr>
      <w:r>
        <w:fldChar w:fldCharType="begin"/>
      </w:r>
      <w:r>
        <w:instrText xml:space="preserve"> HYPERLINK \l "_Toc94283138" </w:instrText>
      </w:r>
      <w:r>
        <w:fldChar w:fldCharType="separate"/>
      </w:r>
      <w:r>
        <w:rPr>
          <w:rStyle w:val="9"/>
        </w:rPr>
        <w:t>7.4 运力保障</w:t>
      </w:r>
      <w:r>
        <w:tab/>
      </w:r>
      <w:r>
        <w:fldChar w:fldCharType="begin"/>
      </w:r>
      <w:r>
        <w:instrText xml:space="preserve"> PAGEREF _Toc94283138 \h </w:instrText>
      </w:r>
      <w:r>
        <w:fldChar w:fldCharType="separate"/>
      </w:r>
      <w:r>
        <w:t>24</w:t>
      </w:r>
      <w:r>
        <w:fldChar w:fldCharType="end"/>
      </w:r>
      <w:r>
        <w:fldChar w:fldCharType="end"/>
      </w:r>
    </w:p>
    <w:p>
      <w:pPr>
        <w:pStyle w:val="7"/>
        <w:snapToGrid w:val="0"/>
        <w:spacing w:line="264" w:lineRule="auto"/>
        <w:rPr>
          <w:rFonts w:asciiTheme="minorHAnsi" w:hAnsiTheme="minorHAnsi" w:eastAsiaTheme="minorEastAsia"/>
          <w:sz w:val="21"/>
          <w:szCs w:val="22"/>
        </w:rPr>
      </w:pPr>
      <w:r>
        <w:fldChar w:fldCharType="begin"/>
      </w:r>
      <w:r>
        <w:instrText xml:space="preserve"> HYPERLINK \l "_Toc94283139" </w:instrText>
      </w:r>
      <w:r>
        <w:fldChar w:fldCharType="separate"/>
      </w:r>
      <w:r>
        <w:rPr>
          <w:rStyle w:val="9"/>
        </w:rPr>
        <w:t>7.5 物资保障</w:t>
      </w:r>
      <w:r>
        <w:tab/>
      </w:r>
      <w:r>
        <w:fldChar w:fldCharType="begin"/>
      </w:r>
      <w:r>
        <w:instrText xml:space="preserve"> PAGEREF _Toc94283139 \h </w:instrText>
      </w:r>
      <w:r>
        <w:fldChar w:fldCharType="separate"/>
      </w:r>
      <w:r>
        <w:t>24</w:t>
      </w:r>
      <w:r>
        <w:fldChar w:fldCharType="end"/>
      </w:r>
      <w:r>
        <w:fldChar w:fldCharType="end"/>
      </w:r>
    </w:p>
    <w:p>
      <w:pPr>
        <w:pStyle w:val="7"/>
        <w:snapToGrid w:val="0"/>
        <w:spacing w:line="264" w:lineRule="auto"/>
        <w:rPr>
          <w:rFonts w:asciiTheme="minorHAnsi" w:hAnsiTheme="minorHAnsi" w:eastAsiaTheme="minorEastAsia"/>
          <w:sz w:val="21"/>
          <w:szCs w:val="22"/>
        </w:rPr>
      </w:pPr>
      <w:r>
        <w:fldChar w:fldCharType="begin"/>
      </w:r>
      <w:r>
        <w:instrText xml:space="preserve"> HYPERLINK \l "_Toc94283140" </w:instrText>
      </w:r>
      <w:r>
        <w:fldChar w:fldCharType="separate"/>
      </w:r>
      <w:r>
        <w:rPr>
          <w:rStyle w:val="9"/>
        </w:rPr>
        <w:t>7.6 技术保障</w:t>
      </w:r>
      <w:r>
        <w:tab/>
      </w:r>
      <w:r>
        <w:fldChar w:fldCharType="begin"/>
      </w:r>
      <w:r>
        <w:instrText xml:space="preserve"> PAGEREF _Toc94283140 \h </w:instrText>
      </w:r>
      <w:r>
        <w:fldChar w:fldCharType="separate"/>
      </w:r>
      <w:r>
        <w:t>25</w:t>
      </w:r>
      <w:r>
        <w:fldChar w:fldCharType="end"/>
      </w:r>
      <w:r>
        <w:fldChar w:fldCharType="end"/>
      </w:r>
    </w:p>
    <w:p>
      <w:pPr>
        <w:pStyle w:val="6"/>
        <w:spacing w:line="264" w:lineRule="auto"/>
        <w:rPr>
          <w:rFonts w:asciiTheme="minorHAnsi" w:hAnsiTheme="minorHAnsi" w:eastAsiaTheme="minorEastAsia"/>
          <w:sz w:val="21"/>
          <w:szCs w:val="22"/>
        </w:rPr>
      </w:pPr>
      <w:r>
        <w:fldChar w:fldCharType="begin"/>
      </w:r>
      <w:r>
        <w:instrText xml:space="preserve"> HYPERLINK \l "_Toc94283141" </w:instrText>
      </w:r>
      <w:r>
        <w:fldChar w:fldCharType="separate"/>
      </w:r>
      <w:r>
        <w:rPr>
          <w:rStyle w:val="9"/>
        </w:rPr>
        <w:t>8 预案管理</w:t>
      </w:r>
      <w:r>
        <w:tab/>
      </w:r>
      <w:r>
        <w:fldChar w:fldCharType="begin"/>
      </w:r>
      <w:r>
        <w:instrText xml:space="preserve"> PAGEREF _Toc94283141 \h </w:instrText>
      </w:r>
      <w:r>
        <w:fldChar w:fldCharType="separate"/>
      </w:r>
      <w:r>
        <w:t>25</w:t>
      </w:r>
      <w:r>
        <w:fldChar w:fldCharType="end"/>
      </w:r>
      <w:r>
        <w:fldChar w:fldCharType="end"/>
      </w:r>
    </w:p>
    <w:p>
      <w:pPr>
        <w:pStyle w:val="7"/>
        <w:snapToGrid w:val="0"/>
        <w:spacing w:line="264" w:lineRule="auto"/>
        <w:rPr>
          <w:rFonts w:asciiTheme="minorHAnsi" w:hAnsiTheme="minorHAnsi" w:eastAsiaTheme="minorEastAsia"/>
          <w:sz w:val="21"/>
          <w:szCs w:val="22"/>
        </w:rPr>
      </w:pPr>
      <w:r>
        <w:fldChar w:fldCharType="begin"/>
      </w:r>
      <w:r>
        <w:instrText xml:space="preserve"> HYPERLINK \l "_Toc94283142" </w:instrText>
      </w:r>
      <w:r>
        <w:fldChar w:fldCharType="separate"/>
      </w:r>
      <w:r>
        <w:rPr>
          <w:rStyle w:val="9"/>
        </w:rPr>
        <w:t>8.1 预案编制、备案与发布</w:t>
      </w:r>
      <w:r>
        <w:tab/>
      </w:r>
      <w:r>
        <w:fldChar w:fldCharType="begin"/>
      </w:r>
      <w:r>
        <w:instrText xml:space="preserve"> PAGEREF _Toc94283142 \h </w:instrText>
      </w:r>
      <w:r>
        <w:fldChar w:fldCharType="separate"/>
      </w:r>
      <w:r>
        <w:t>25</w:t>
      </w:r>
      <w:r>
        <w:fldChar w:fldCharType="end"/>
      </w:r>
      <w:r>
        <w:fldChar w:fldCharType="end"/>
      </w:r>
    </w:p>
    <w:p>
      <w:pPr>
        <w:pStyle w:val="7"/>
        <w:snapToGrid w:val="0"/>
        <w:spacing w:line="264" w:lineRule="auto"/>
        <w:rPr>
          <w:rFonts w:asciiTheme="minorHAnsi" w:hAnsiTheme="minorHAnsi" w:eastAsiaTheme="minorEastAsia"/>
          <w:sz w:val="21"/>
          <w:szCs w:val="22"/>
        </w:rPr>
      </w:pPr>
      <w:r>
        <w:fldChar w:fldCharType="begin"/>
      </w:r>
      <w:r>
        <w:instrText xml:space="preserve"> HYPERLINK \l "_Toc94283143" </w:instrText>
      </w:r>
      <w:r>
        <w:fldChar w:fldCharType="separate"/>
      </w:r>
      <w:r>
        <w:rPr>
          <w:rStyle w:val="9"/>
        </w:rPr>
        <w:t>8.2 预案修订</w:t>
      </w:r>
      <w:r>
        <w:tab/>
      </w:r>
      <w:r>
        <w:fldChar w:fldCharType="begin"/>
      </w:r>
      <w:r>
        <w:instrText xml:space="preserve"> PAGEREF _Toc94283143 \h </w:instrText>
      </w:r>
      <w:r>
        <w:fldChar w:fldCharType="separate"/>
      </w:r>
      <w:r>
        <w:t>25</w:t>
      </w:r>
      <w:r>
        <w:fldChar w:fldCharType="end"/>
      </w:r>
      <w:r>
        <w:fldChar w:fldCharType="end"/>
      </w:r>
    </w:p>
    <w:p>
      <w:pPr>
        <w:pStyle w:val="7"/>
        <w:snapToGrid w:val="0"/>
        <w:spacing w:line="264" w:lineRule="auto"/>
        <w:rPr>
          <w:rFonts w:asciiTheme="minorHAnsi" w:hAnsiTheme="minorHAnsi" w:eastAsiaTheme="minorEastAsia"/>
          <w:sz w:val="21"/>
          <w:szCs w:val="22"/>
        </w:rPr>
      </w:pPr>
      <w:r>
        <w:fldChar w:fldCharType="begin"/>
      </w:r>
      <w:r>
        <w:instrText xml:space="preserve"> HYPERLINK \l "_Toc94283144" </w:instrText>
      </w:r>
      <w:r>
        <w:fldChar w:fldCharType="separate"/>
      </w:r>
      <w:r>
        <w:rPr>
          <w:rStyle w:val="9"/>
        </w:rPr>
        <w:t>8.3 预案培训与演练</w:t>
      </w:r>
      <w:r>
        <w:tab/>
      </w:r>
      <w:r>
        <w:fldChar w:fldCharType="begin"/>
      </w:r>
      <w:r>
        <w:instrText xml:space="preserve"> PAGEREF _Toc94283144 \h </w:instrText>
      </w:r>
      <w:r>
        <w:fldChar w:fldCharType="separate"/>
      </w:r>
      <w:r>
        <w:t>26</w:t>
      </w:r>
      <w:r>
        <w:fldChar w:fldCharType="end"/>
      </w:r>
      <w:r>
        <w:fldChar w:fldCharType="end"/>
      </w:r>
    </w:p>
    <w:p>
      <w:pPr>
        <w:pStyle w:val="6"/>
        <w:spacing w:line="264" w:lineRule="auto"/>
        <w:rPr>
          <w:rFonts w:asciiTheme="minorHAnsi" w:hAnsiTheme="minorHAnsi" w:eastAsiaTheme="minorEastAsia"/>
          <w:sz w:val="21"/>
          <w:szCs w:val="22"/>
        </w:rPr>
      </w:pPr>
      <w:r>
        <w:fldChar w:fldCharType="begin"/>
      </w:r>
      <w:r>
        <w:instrText xml:space="preserve"> HYPERLINK \l "_Toc94283145" </w:instrText>
      </w:r>
      <w:r>
        <w:fldChar w:fldCharType="separate"/>
      </w:r>
      <w:r>
        <w:rPr>
          <w:rStyle w:val="9"/>
        </w:rPr>
        <w:t>9 附则</w:t>
      </w:r>
      <w:r>
        <w:tab/>
      </w:r>
      <w:r>
        <w:fldChar w:fldCharType="begin"/>
      </w:r>
      <w:r>
        <w:instrText xml:space="preserve"> PAGEREF _Toc94283145 \h </w:instrText>
      </w:r>
      <w:r>
        <w:fldChar w:fldCharType="separate"/>
      </w:r>
      <w:r>
        <w:t>26</w:t>
      </w:r>
      <w:r>
        <w:fldChar w:fldCharType="end"/>
      </w:r>
      <w:r>
        <w:fldChar w:fldCharType="end"/>
      </w:r>
    </w:p>
    <w:p>
      <w:pPr>
        <w:pStyle w:val="6"/>
        <w:spacing w:line="264" w:lineRule="auto"/>
        <w:rPr>
          <w:rFonts w:asciiTheme="minorHAnsi" w:hAnsiTheme="minorHAnsi" w:eastAsiaTheme="minorEastAsia"/>
          <w:sz w:val="21"/>
          <w:szCs w:val="22"/>
        </w:rPr>
      </w:pPr>
      <w:r>
        <w:fldChar w:fldCharType="begin"/>
      </w:r>
      <w:r>
        <w:instrText xml:space="preserve"> HYPERLINK \l "_Toc94283146" </w:instrText>
      </w:r>
      <w:r>
        <w:fldChar w:fldCharType="separate"/>
      </w:r>
      <w:r>
        <w:rPr>
          <w:rStyle w:val="9"/>
        </w:rPr>
        <w:t>10 附件</w:t>
      </w:r>
      <w:r>
        <w:tab/>
      </w:r>
      <w:r>
        <w:fldChar w:fldCharType="begin"/>
      </w:r>
      <w:r>
        <w:instrText xml:space="preserve"> PAGEREF _Toc94283146 \h </w:instrText>
      </w:r>
      <w:r>
        <w:fldChar w:fldCharType="separate"/>
      </w:r>
      <w:r>
        <w:t>27</w:t>
      </w:r>
      <w:r>
        <w:fldChar w:fldCharType="end"/>
      </w:r>
      <w:r>
        <w:fldChar w:fldCharType="end"/>
      </w:r>
    </w:p>
    <w:p>
      <w:pPr>
        <w:pStyle w:val="6"/>
        <w:spacing w:line="264" w:lineRule="auto"/>
        <w:rPr>
          <w:rFonts w:asciiTheme="minorHAnsi" w:hAnsiTheme="minorHAnsi" w:eastAsiaTheme="minorEastAsia"/>
          <w:sz w:val="21"/>
          <w:szCs w:val="22"/>
        </w:rPr>
      </w:pPr>
      <w:r>
        <w:fldChar w:fldCharType="begin"/>
      </w:r>
      <w:r>
        <w:instrText xml:space="preserve"> HYPERLINK \l "_Toc94283147" </w:instrText>
      </w:r>
      <w:r>
        <w:fldChar w:fldCharType="separate"/>
      </w:r>
      <w:r>
        <w:rPr>
          <w:rStyle w:val="9"/>
        </w:rPr>
        <w:t>附件1 河南省交通运输突发事件应急组织机构图</w:t>
      </w:r>
      <w:r>
        <w:tab/>
      </w:r>
      <w:r>
        <w:fldChar w:fldCharType="begin"/>
      </w:r>
      <w:r>
        <w:instrText xml:space="preserve"> PAGEREF _Toc94283147 \h </w:instrText>
      </w:r>
      <w:r>
        <w:fldChar w:fldCharType="separate"/>
      </w:r>
      <w:r>
        <w:t>28</w:t>
      </w:r>
      <w:r>
        <w:fldChar w:fldCharType="end"/>
      </w:r>
      <w:r>
        <w:fldChar w:fldCharType="end"/>
      </w:r>
    </w:p>
    <w:p>
      <w:pPr>
        <w:pStyle w:val="6"/>
        <w:spacing w:line="264" w:lineRule="auto"/>
        <w:rPr>
          <w:rFonts w:asciiTheme="minorHAnsi" w:hAnsiTheme="minorHAnsi" w:eastAsiaTheme="minorEastAsia"/>
          <w:sz w:val="21"/>
          <w:szCs w:val="22"/>
        </w:rPr>
      </w:pPr>
      <w:r>
        <w:fldChar w:fldCharType="begin"/>
      </w:r>
      <w:r>
        <w:instrText xml:space="preserve"> HYPERLINK \l "_Toc94283148" </w:instrText>
      </w:r>
      <w:r>
        <w:fldChar w:fldCharType="separate"/>
      </w:r>
      <w:r>
        <w:rPr>
          <w:rStyle w:val="9"/>
        </w:rPr>
        <w:t>附件2 河南省交通运输突发事件应急响应流程图</w:t>
      </w:r>
      <w:r>
        <w:tab/>
      </w:r>
      <w:r>
        <w:fldChar w:fldCharType="begin"/>
      </w:r>
      <w:r>
        <w:instrText xml:space="preserve"> PAGEREF _Toc94283148 \h </w:instrText>
      </w:r>
      <w:r>
        <w:fldChar w:fldCharType="separate"/>
      </w:r>
      <w:r>
        <w:t>29</w:t>
      </w:r>
      <w:r>
        <w:fldChar w:fldCharType="end"/>
      </w:r>
      <w:r>
        <w:fldChar w:fldCharType="end"/>
      </w:r>
    </w:p>
    <w:p>
      <w:pPr>
        <w:pStyle w:val="6"/>
        <w:spacing w:line="264" w:lineRule="auto"/>
        <w:rPr>
          <w:rFonts w:asciiTheme="minorHAnsi" w:hAnsiTheme="minorHAnsi" w:eastAsiaTheme="minorEastAsia"/>
          <w:sz w:val="21"/>
          <w:szCs w:val="22"/>
        </w:rPr>
      </w:pPr>
      <w:r>
        <w:fldChar w:fldCharType="begin"/>
      </w:r>
      <w:r>
        <w:instrText xml:space="preserve"> HYPERLINK \l "_Toc94283149" </w:instrText>
      </w:r>
      <w:r>
        <w:fldChar w:fldCharType="separate"/>
      </w:r>
      <w:r>
        <w:rPr>
          <w:rStyle w:val="9"/>
        </w:rPr>
        <w:t>附件3 河南省交通运输厅应急预案类别</w:t>
      </w:r>
      <w:r>
        <w:tab/>
      </w:r>
      <w:r>
        <w:fldChar w:fldCharType="begin"/>
      </w:r>
      <w:r>
        <w:instrText xml:space="preserve"> PAGEREF _Toc94283149 \h </w:instrText>
      </w:r>
      <w:r>
        <w:fldChar w:fldCharType="separate"/>
      </w:r>
      <w:r>
        <w:t>30</w:t>
      </w:r>
      <w:r>
        <w:fldChar w:fldCharType="end"/>
      </w:r>
      <w:r>
        <w:fldChar w:fldCharType="end"/>
      </w:r>
    </w:p>
    <w:p>
      <w:pPr>
        <w:pStyle w:val="6"/>
        <w:spacing w:line="264" w:lineRule="auto"/>
        <w:rPr>
          <w:rFonts w:asciiTheme="minorHAnsi" w:hAnsiTheme="minorHAnsi" w:eastAsiaTheme="minorEastAsia"/>
          <w:sz w:val="21"/>
          <w:szCs w:val="22"/>
        </w:rPr>
      </w:pPr>
      <w:r>
        <w:fldChar w:fldCharType="begin"/>
      </w:r>
      <w:r>
        <w:instrText xml:space="preserve"> HYPERLINK \l "_Toc94283150" </w:instrText>
      </w:r>
      <w:r>
        <w:fldChar w:fldCharType="separate"/>
      </w:r>
      <w:r>
        <w:rPr>
          <w:rStyle w:val="9"/>
        </w:rPr>
        <w:t>附件4 突发事件信息报告格式</w:t>
      </w:r>
      <w:r>
        <w:tab/>
      </w:r>
      <w:r>
        <w:fldChar w:fldCharType="begin"/>
      </w:r>
      <w:r>
        <w:instrText xml:space="preserve"> PAGEREF _Toc94283150 \h </w:instrText>
      </w:r>
      <w:r>
        <w:fldChar w:fldCharType="separate"/>
      </w:r>
      <w:r>
        <w:t>31</w:t>
      </w:r>
      <w:r>
        <w:fldChar w:fldCharType="end"/>
      </w:r>
      <w:r>
        <w:fldChar w:fldCharType="end"/>
      </w:r>
    </w:p>
    <w:p>
      <w:pPr>
        <w:pStyle w:val="6"/>
        <w:spacing w:line="264" w:lineRule="auto"/>
        <w:rPr>
          <w:rFonts w:asciiTheme="minorHAnsi" w:hAnsiTheme="minorHAnsi" w:eastAsiaTheme="minorEastAsia"/>
          <w:sz w:val="21"/>
          <w:szCs w:val="22"/>
        </w:rPr>
      </w:pPr>
      <w:r>
        <w:fldChar w:fldCharType="begin"/>
      </w:r>
      <w:r>
        <w:instrText xml:space="preserve"> HYPERLINK \l "_Toc94283151" </w:instrText>
      </w:r>
      <w:r>
        <w:fldChar w:fldCharType="separate"/>
      </w:r>
      <w:r>
        <w:rPr>
          <w:rStyle w:val="9"/>
        </w:rPr>
        <w:t>附件5 应急响应启动通知格式</w:t>
      </w:r>
      <w:r>
        <w:tab/>
      </w:r>
      <w:r>
        <w:fldChar w:fldCharType="begin"/>
      </w:r>
      <w:r>
        <w:instrText xml:space="preserve"> PAGEREF _Toc94283151 \h </w:instrText>
      </w:r>
      <w:r>
        <w:fldChar w:fldCharType="separate"/>
      </w:r>
      <w:r>
        <w:t>32</w:t>
      </w:r>
      <w:r>
        <w:fldChar w:fldCharType="end"/>
      </w:r>
      <w:r>
        <w:fldChar w:fldCharType="end"/>
      </w:r>
    </w:p>
    <w:p>
      <w:pPr>
        <w:pStyle w:val="6"/>
        <w:spacing w:line="264" w:lineRule="auto"/>
        <w:rPr>
          <w:rFonts w:ascii="楷体" w:hAnsi="楷体" w:eastAsia="楷体"/>
        </w:rPr>
      </w:pPr>
      <w:r>
        <w:fldChar w:fldCharType="end"/>
      </w:r>
    </w:p>
    <w:p>
      <w:pPr>
        <w:pStyle w:val="36"/>
        <w:ind w:firstLine="640"/>
        <w:sectPr>
          <w:footerReference r:id="rId4" w:type="default"/>
          <w:pgSz w:w="11906" w:h="16838"/>
          <w:pgMar w:top="1440" w:right="1800" w:bottom="1440" w:left="1800" w:header="851" w:footer="992" w:gutter="0"/>
          <w:pgNumType w:fmt="upperRoman" w:start="1"/>
          <w:cols w:space="425" w:num="1"/>
          <w:docGrid w:type="lines" w:linePitch="312" w:charSpace="0"/>
        </w:sectPr>
      </w:pPr>
    </w:p>
    <w:p>
      <w:pPr>
        <w:pStyle w:val="43"/>
        <w:spacing w:before="0" w:beforeLines="0" w:after="0" w:afterLines="0" w:line="560" w:lineRule="exact"/>
      </w:pPr>
    </w:p>
    <w:p>
      <w:pPr>
        <w:pStyle w:val="43"/>
        <w:spacing w:before="0" w:beforeLines="0" w:after="0" w:afterLines="0" w:line="560" w:lineRule="exact"/>
      </w:pPr>
    </w:p>
    <w:p>
      <w:pPr>
        <w:pStyle w:val="43"/>
        <w:spacing w:before="0" w:beforeLines="0" w:after="0" w:afterLines="0" w:line="560" w:lineRule="exact"/>
      </w:pPr>
      <w:r>
        <w:rPr>
          <w:rFonts w:hint="eastAsia"/>
        </w:rPr>
        <w:t>河南省交通运输突发事件综合应急预案</w:t>
      </w:r>
    </w:p>
    <w:p>
      <w:pPr>
        <w:pStyle w:val="43"/>
        <w:spacing w:line="560" w:lineRule="exact"/>
        <w:rPr>
          <w:rFonts w:ascii="楷体" w:hAnsi="楷体" w:eastAsia="楷体"/>
          <w:b w:val="0"/>
          <w:bCs/>
          <w:sz w:val="36"/>
          <w:szCs w:val="36"/>
        </w:rPr>
      </w:pPr>
    </w:p>
    <w:p>
      <w:pPr>
        <w:pStyle w:val="36"/>
        <w:ind w:firstLine="640"/>
      </w:pPr>
      <w:bookmarkStart w:id="0" w:name="_Toc94283098"/>
      <w:r>
        <w:t>总则</w:t>
      </w:r>
      <w:bookmarkEnd w:id="0"/>
    </w:p>
    <w:p>
      <w:pPr>
        <w:pStyle w:val="38"/>
        <w:ind w:firstLine="640"/>
      </w:pPr>
      <w:bookmarkStart w:id="1" w:name="_Toc94283099"/>
      <w:r>
        <w:t>编制目的</w:t>
      </w:r>
      <w:bookmarkEnd w:id="1"/>
    </w:p>
    <w:p>
      <w:pPr>
        <w:pStyle w:val="35"/>
        <w:ind w:firstLine="640"/>
      </w:pPr>
      <w:r>
        <w:rPr>
          <w:rFonts w:hint="eastAsia"/>
        </w:rPr>
        <w:t>为切实加强交通运输突发事件应急管理工作，科学、高效、有序地应对交通运输行业突发事件，提高交通运输行业综合应急响应和应急保障能力，充分发挥交通运输主管部门在突发事件应对中的作用，结合我省交通运输实际，制定本预案。</w:t>
      </w:r>
    </w:p>
    <w:p>
      <w:pPr>
        <w:pStyle w:val="38"/>
        <w:ind w:firstLine="640"/>
      </w:pPr>
      <w:bookmarkStart w:id="2" w:name="_Toc94283100"/>
      <w:r>
        <w:t>编制依据</w:t>
      </w:r>
      <w:bookmarkEnd w:id="2"/>
    </w:p>
    <w:p>
      <w:pPr>
        <w:pStyle w:val="35"/>
        <w:ind w:firstLine="640"/>
      </w:pPr>
      <w:bookmarkStart w:id="3" w:name="_Hlk93647550"/>
      <w:r>
        <w:rPr>
          <w:rFonts w:hint="eastAsia"/>
        </w:rPr>
        <w:t>《中华人民共和国突发事件应对法》《中华人民共和国安全生产法》《突发事件应急预案管理办法》《交通运输突发事件应急管理规定》《河南省突发事件应急预案管理办法》</w:t>
      </w:r>
      <w:bookmarkEnd w:id="3"/>
      <w:r>
        <w:rPr>
          <w:rFonts w:hint="eastAsia"/>
        </w:rPr>
        <w:t>《国家突发公共事件总体应急预案》《交通运输部〈交通运输综合应急预案〉》《河南省突发事件总体应急预案（试行）》等法律、法规、上位预案和其他有关规定。</w:t>
      </w:r>
    </w:p>
    <w:p>
      <w:pPr>
        <w:pStyle w:val="38"/>
        <w:ind w:firstLine="640"/>
      </w:pPr>
      <w:bookmarkStart w:id="4" w:name="_Toc94283101"/>
      <w:r>
        <w:t>适用范围</w:t>
      </w:r>
      <w:bookmarkEnd w:id="4"/>
    </w:p>
    <w:p>
      <w:pPr>
        <w:pStyle w:val="35"/>
        <w:ind w:firstLine="640"/>
      </w:pPr>
      <w:bookmarkStart w:id="5" w:name="_Hlk88494197"/>
      <w:r>
        <w:rPr>
          <w:rFonts w:hint="eastAsia"/>
        </w:rPr>
        <w:t>本预案适用于河南省区域内由省人民政府或交通运输部牵头处置，需省交通运输厅参与或独立处置的自然灾害、事故灾难、公共卫生和社会安全突发事件。以上类型的突发事件已有相关专项应急预案的，从其专项应急预案。</w:t>
      </w:r>
    </w:p>
    <w:p>
      <w:pPr>
        <w:pStyle w:val="38"/>
        <w:ind w:firstLine="640"/>
      </w:pPr>
      <w:bookmarkStart w:id="6" w:name="_Toc94283102"/>
      <w:r>
        <w:t>工作原则</w:t>
      </w:r>
      <w:bookmarkEnd w:id="6"/>
    </w:p>
    <w:p>
      <w:pPr>
        <w:pStyle w:val="35"/>
        <w:ind w:firstLine="640"/>
      </w:pPr>
      <w:r>
        <w:rPr>
          <w:rFonts w:hint="eastAsia"/>
        </w:rPr>
        <w:t>坚持以人为本，生命至上。把保障公众健康和生命财产安全作为应急工作的首要任务，最大限度地减少突发事件造成的人员伤亡和财产损失。</w:t>
      </w:r>
    </w:p>
    <w:p>
      <w:pPr>
        <w:pStyle w:val="35"/>
        <w:ind w:firstLine="640"/>
      </w:pPr>
      <w:r>
        <w:rPr>
          <w:rFonts w:hint="eastAsia"/>
        </w:rPr>
        <w:t>坚持统一领导，分级负责。在省委省政府和交通运输部统一领导下，各级交通运输主管部门负责本级交通运输突发事件的应对工作，实行分级响应、分级负责、属地管理、条块结合、协调联动的原则。</w:t>
      </w:r>
    </w:p>
    <w:p>
      <w:pPr>
        <w:pStyle w:val="35"/>
        <w:ind w:firstLine="640"/>
      </w:pPr>
      <w:r>
        <w:rPr>
          <w:rFonts w:hint="eastAsia"/>
        </w:rPr>
        <w:t>坚持充分准备，高效处置。突发事件应急处置与预防工作相结合，做好常态下的风险评估、预防预警、队伍建设、物资储备、预案演练等工作，确保应急预案有效运行。</w:t>
      </w:r>
      <w:bookmarkEnd w:id="5"/>
    </w:p>
    <w:p>
      <w:pPr>
        <w:pStyle w:val="38"/>
        <w:ind w:firstLine="640"/>
      </w:pPr>
      <w:bookmarkStart w:id="7" w:name="_Toc94283103"/>
      <w:r>
        <w:rPr>
          <w:rFonts w:hint="eastAsia"/>
        </w:rPr>
        <w:t>事件分类</w:t>
      </w:r>
      <w:bookmarkEnd w:id="7"/>
    </w:p>
    <w:p>
      <w:pPr>
        <w:pStyle w:val="35"/>
        <w:ind w:firstLine="640"/>
      </w:pPr>
      <w:r>
        <w:t>突发事件主要</w:t>
      </w:r>
      <w:r>
        <w:rPr>
          <w:rFonts w:hint="eastAsia"/>
        </w:rPr>
        <w:t>分为自然灾害、事故灾难、公共卫生事件、社会安全事件四大类。</w:t>
      </w:r>
    </w:p>
    <w:p>
      <w:pPr>
        <w:pStyle w:val="44"/>
        <w:ind w:firstLine="640"/>
      </w:pPr>
      <w:r>
        <w:t>自然灾害</w:t>
      </w:r>
      <w:r>
        <w:rPr>
          <w:rFonts w:hint="eastAsia"/>
        </w:rPr>
        <w:t>：</w:t>
      </w:r>
      <w:r>
        <w:t>主要包括</w:t>
      </w:r>
      <w:r>
        <w:rPr>
          <w:rFonts w:hint="eastAsia"/>
        </w:rPr>
        <w:t>洪涝灾害、干旱</w:t>
      </w:r>
      <w:r>
        <w:t>灾害、</w:t>
      </w:r>
      <w:r>
        <w:rPr>
          <w:rFonts w:hint="eastAsia"/>
        </w:rPr>
        <w:t>冰雪灾害、</w:t>
      </w:r>
      <w:r>
        <w:t>地震灾害</w:t>
      </w:r>
      <w:r>
        <w:rPr>
          <w:rFonts w:hint="eastAsia"/>
        </w:rPr>
        <w:t>、滑坡灾害、泥石流灾害</w:t>
      </w:r>
      <w:r>
        <w:t>等。</w:t>
      </w:r>
    </w:p>
    <w:p>
      <w:pPr>
        <w:pStyle w:val="44"/>
        <w:ind w:firstLine="640"/>
      </w:pPr>
      <w:r>
        <w:t>事故灾难</w:t>
      </w:r>
      <w:r>
        <w:rPr>
          <w:rFonts w:hint="eastAsia"/>
        </w:rPr>
        <w:t>：</w:t>
      </w:r>
      <w:r>
        <w:t>主要包括交通运输事故、</w:t>
      </w:r>
      <w:r>
        <w:rPr>
          <w:rFonts w:hint="eastAsia"/>
        </w:rPr>
        <w:t>危险化学品运输事故、火灾事故、</w:t>
      </w:r>
      <w:r>
        <w:t>公共设施和设备事故等。</w:t>
      </w:r>
    </w:p>
    <w:p>
      <w:pPr>
        <w:pStyle w:val="44"/>
        <w:ind w:firstLine="640"/>
      </w:pPr>
      <w:r>
        <w:t>公共卫生事件</w:t>
      </w:r>
      <w:r>
        <w:rPr>
          <w:rFonts w:hint="eastAsia"/>
        </w:rPr>
        <w:t>：</w:t>
      </w:r>
      <w:r>
        <w:t>主要包括</w:t>
      </w:r>
      <w:r>
        <w:rPr>
          <w:rFonts w:hint="eastAsia"/>
        </w:rPr>
        <w:t>职业中毒事件、食品安全事件、</w:t>
      </w:r>
      <w:r>
        <w:t>传染病疫情防控事件</w:t>
      </w:r>
      <w:r>
        <w:rPr>
          <w:rFonts w:hint="eastAsia"/>
        </w:rPr>
        <w:t>等</w:t>
      </w:r>
      <w:r>
        <w:t>。</w:t>
      </w:r>
    </w:p>
    <w:p>
      <w:pPr>
        <w:pStyle w:val="44"/>
        <w:ind w:firstLine="640"/>
      </w:pPr>
      <w:r>
        <w:t>社会安全事件</w:t>
      </w:r>
      <w:r>
        <w:rPr>
          <w:rFonts w:hint="eastAsia"/>
        </w:rPr>
        <w:t>：</w:t>
      </w:r>
      <w:r>
        <w:t>主要包括恐怖袭击事件、极端暴力犯罪事件、群体性事件和网络与信息安全事件等。</w:t>
      </w:r>
    </w:p>
    <w:p>
      <w:pPr>
        <w:pStyle w:val="38"/>
        <w:ind w:firstLine="640"/>
      </w:pPr>
      <w:bookmarkStart w:id="8" w:name="_Toc94283104"/>
      <w:r>
        <w:t>事件分级</w:t>
      </w:r>
      <w:bookmarkEnd w:id="8"/>
    </w:p>
    <w:p>
      <w:pPr>
        <w:pStyle w:val="35"/>
        <w:ind w:firstLine="640"/>
      </w:pPr>
      <w:r>
        <w:rPr>
          <w:rFonts w:hint="eastAsia"/>
        </w:rPr>
        <w:t>突发事件按照其特点、严重程度和影响范围等分为四级：Ⅰ级（特别重大）、Ⅱ级（重大）、Ⅲ级（较大）和Ⅳ级（一般）。</w:t>
      </w:r>
    </w:p>
    <w:p>
      <w:pPr>
        <w:pStyle w:val="44"/>
        <w:ind w:firstLine="640"/>
      </w:pPr>
      <w:r>
        <w:rPr>
          <w:rFonts w:hint="eastAsia"/>
        </w:rPr>
        <w:t>特别重大</w:t>
      </w:r>
      <w:r>
        <w:t>突发事件</w:t>
      </w:r>
      <w:r>
        <w:rPr>
          <w:rFonts w:hint="eastAsia"/>
        </w:rPr>
        <w:t>：指事态非常复杂，已经或可能造成特别重大人员伤亡、特别重大财产损失，需省交通运输厅报请省政府和交通运输部组织协调多方面力量和资源进行应急处置的突发事件。</w:t>
      </w:r>
    </w:p>
    <w:p>
      <w:pPr>
        <w:pStyle w:val="44"/>
        <w:ind w:firstLine="640"/>
      </w:pPr>
      <w:r>
        <w:rPr>
          <w:rFonts w:hint="eastAsia"/>
        </w:rPr>
        <w:t>重大</w:t>
      </w:r>
      <w:r>
        <w:t>突发事件</w:t>
      </w:r>
      <w:r>
        <w:rPr>
          <w:rFonts w:hint="eastAsia"/>
        </w:rPr>
        <w:t>：指事态复杂，已经或可能造成重大人员伤亡、重大财产损失，需省交通运输厅组织协调系统内多方面力量和资源进行应急处置的突发事件。</w:t>
      </w:r>
    </w:p>
    <w:p>
      <w:pPr>
        <w:pStyle w:val="44"/>
        <w:ind w:firstLine="640"/>
      </w:pPr>
      <w:r>
        <w:rPr>
          <w:rFonts w:hint="eastAsia"/>
        </w:rPr>
        <w:t>较大</w:t>
      </w:r>
      <w:r>
        <w:t>突发事件</w:t>
      </w:r>
      <w:r>
        <w:rPr>
          <w:rFonts w:hint="eastAsia"/>
        </w:rPr>
        <w:t>：指事态较为复杂，已经或可能造成较大人员伤亡、较大财产损失，需省交通运输厅指导市、县交通运输主管部门进行应急处置的突发事件。</w:t>
      </w:r>
    </w:p>
    <w:p>
      <w:pPr>
        <w:pStyle w:val="44"/>
        <w:ind w:firstLine="640"/>
      </w:pPr>
      <w:r>
        <w:rPr>
          <w:rFonts w:hint="eastAsia"/>
        </w:rPr>
        <w:t>一般</w:t>
      </w:r>
      <w:r>
        <w:t>突发事件</w:t>
      </w:r>
      <w:r>
        <w:rPr>
          <w:rFonts w:hint="eastAsia"/>
        </w:rPr>
        <w:t>：指事态比较简单，已经或可能造成人员伤亡和财产损失，需省交通运输厅了解应急处置有关情况的突发事件。</w:t>
      </w:r>
    </w:p>
    <w:p>
      <w:pPr>
        <w:pStyle w:val="35"/>
        <w:ind w:firstLine="640"/>
      </w:pPr>
      <w:r>
        <w:rPr>
          <w:rFonts w:hint="eastAsia"/>
        </w:rPr>
        <w:t>相关专项应急预案已明确事件等级标准的，参照其执行。</w:t>
      </w:r>
    </w:p>
    <w:p>
      <w:pPr>
        <w:pStyle w:val="38"/>
        <w:ind w:firstLine="640"/>
      </w:pPr>
      <w:bookmarkStart w:id="9" w:name="_Toc94283105"/>
      <w:r>
        <w:rPr>
          <w:rFonts w:hint="eastAsia"/>
        </w:rPr>
        <w:t>应急预案体系</w:t>
      </w:r>
      <w:bookmarkEnd w:id="9"/>
    </w:p>
    <w:p>
      <w:pPr>
        <w:pStyle w:val="41"/>
        <w:ind w:firstLine="640"/>
      </w:pPr>
      <w:r>
        <w:t>河南省交通运输厅</w:t>
      </w:r>
      <w:r>
        <w:rPr>
          <w:rFonts w:hint="eastAsia"/>
        </w:rPr>
        <w:t>突发事件</w:t>
      </w:r>
      <w:r>
        <w:t>应急预案</w:t>
      </w:r>
    </w:p>
    <w:p>
      <w:pPr>
        <w:pStyle w:val="35"/>
        <w:ind w:firstLine="640"/>
      </w:pPr>
      <w:r>
        <w:rPr>
          <w:rFonts w:hint="eastAsia"/>
        </w:rPr>
        <w:t>厅应急预案包括厅机关相关处室和厅直属相关单位牵头编制的各类突发事件部门应急预案。</w:t>
      </w:r>
    </w:p>
    <w:p>
      <w:pPr>
        <w:pStyle w:val="41"/>
        <w:ind w:firstLine="640"/>
      </w:pPr>
      <w:r>
        <w:rPr>
          <w:rFonts w:hint="eastAsia"/>
        </w:rPr>
        <w:t>市、县</w:t>
      </w:r>
      <w:r>
        <w:t>交通运输突发事件应急预案</w:t>
      </w:r>
    </w:p>
    <w:p>
      <w:pPr>
        <w:pStyle w:val="35"/>
        <w:ind w:firstLine="640"/>
      </w:pPr>
      <w:r>
        <w:rPr>
          <w:rFonts w:hint="eastAsia"/>
        </w:rPr>
        <w:t>省辖市、济源示范区、省直管县（市）交通运输主管部门（以下简称市、县交通运输主管部门）为应对本级行政区域内发生的各类交通运输突发事件而制定的应急预案。</w:t>
      </w:r>
    </w:p>
    <w:p>
      <w:pPr>
        <w:pStyle w:val="41"/>
        <w:ind w:firstLine="640"/>
      </w:pPr>
      <w:r>
        <w:t>交通运输企业突发事件应急预案</w:t>
      </w:r>
    </w:p>
    <w:p>
      <w:pPr>
        <w:pStyle w:val="35"/>
        <w:ind w:firstLine="640"/>
      </w:pPr>
      <w:bookmarkStart w:id="116" w:name="_GoBack"/>
      <w:r>
        <w:rPr>
          <w:rFonts w:hint="eastAsia"/>
        </w:rPr>
        <w:t>交通运输企业根据相关法律、法规、上位预案和其他有关规定，为应对突发事件而制定的应急预案</w:t>
      </w:r>
      <w:bookmarkEnd w:id="116"/>
      <w:r>
        <w:rPr>
          <w:rFonts w:hint="eastAsia"/>
        </w:rPr>
        <w:t>。</w:t>
      </w:r>
    </w:p>
    <w:p>
      <w:pPr>
        <w:pStyle w:val="38"/>
        <w:ind w:firstLine="640" w:firstLineChars="200"/>
      </w:pPr>
      <w:bookmarkStart w:id="10" w:name="_Toc94283106"/>
      <w:r>
        <w:rPr>
          <w:rFonts w:hint="eastAsia"/>
        </w:rPr>
        <w:t>应急预案衔接</w:t>
      </w:r>
      <w:bookmarkEnd w:id="10"/>
    </w:p>
    <w:p>
      <w:pPr>
        <w:pStyle w:val="35"/>
        <w:ind w:firstLine="640"/>
      </w:pPr>
      <w:r>
        <w:rPr>
          <w:rFonts w:hint="eastAsia" w:cs="Times New Roman"/>
        </w:rPr>
        <w:t>本预案向上衔接《河南省突发事件总体应急预案（试行）》，以及</w:t>
      </w:r>
      <w:r>
        <w:rPr>
          <w:rFonts w:hint="eastAsia"/>
        </w:rPr>
        <w:t>《交通运输部〈交通运输综合应急预案〉》</w:t>
      </w:r>
      <w:r>
        <w:rPr>
          <w:rFonts w:hint="eastAsia" w:cs="Times New Roman"/>
        </w:rPr>
        <w:t>；向下衔接</w:t>
      </w:r>
      <w:r>
        <w:rPr>
          <w:rFonts w:hint="eastAsia"/>
        </w:rPr>
        <w:t>市、县交通运输主管部门有关突发事件应急预案</w:t>
      </w:r>
      <w:r>
        <w:rPr>
          <w:rFonts w:hint="eastAsia" w:cs="Times New Roman"/>
        </w:rPr>
        <w:t>。</w:t>
      </w:r>
    </w:p>
    <w:p>
      <w:pPr>
        <w:pStyle w:val="36"/>
        <w:ind w:firstLine="640"/>
      </w:pPr>
      <w:bookmarkStart w:id="11" w:name="_Toc94283107"/>
      <w:r>
        <w:t>应急组织</w:t>
      </w:r>
      <w:r>
        <w:rPr>
          <w:rFonts w:hint="eastAsia"/>
        </w:rPr>
        <w:t>指挥</w:t>
      </w:r>
      <w:r>
        <w:t>体系及职责</w:t>
      </w:r>
      <w:bookmarkEnd w:id="11"/>
    </w:p>
    <w:p>
      <w:pPr>
        <w:pStyle w:val="38"/>
        <w:ind w:firstLine="640"/>
      </w:pPr>
      <w:bookmarkStart w:id="12" w:name="_Toc94283108"/>
      <w:r>
        <w:rPr>
          <w:rFonts w:hint="eastAsia"/>
        </w:rPr>
        <w:t>突发事件应急指挥部</w:t>
      </w:r>
      <w:bookmarkEnd w:id="12"/>
    </w:p>
    <w:p>
      <w:pPr>
        <w:pStyle w:val="35"/>
        <w:ind w:firstLine="640"/>
      </w:pPr>
      <w:r>
        <w:rPr>
          <w:rFonts w:hint="eastAsia"/>
        </w:rPr>
        <w:t>河南省交通运输厅突发事件应急指挥部（以下简称厅指挥部）由省交通运输厅厅长任指挥长，分管安全应急的副厅长任副指挥长，指挥长可根据应急工作需要任命其他厅领导为副指挥长，厅二级巡视员、安全总监、厅指挥部成员单位主要负责人为成员。</w:t>
      </w:r>
    </w:p>
    <w:p>
      <w:pPr>
        <w:pStyle w:val="35"/>
        <w:ind w:firstLine="640"/>
      </w:pPr>
      <w:r>
        <w:rPr>
          <w:rFonts w:hint="eastAsia"/>
        </w:rPr>
        <w:t>厅指挥部职责：</w:t>
      </w:r>
    </w:p>
    <w:p>
      <w:pPr>
        <w:pStyle w:val="44"/>
        <w:ind w:firstLine="640"/>
      </w:pPr>
      <w:r>
        <w:rPr>
          <w:rFonts w:hint="eastAsia"/>
        </w:rPr>
        <w:t>统一领导河南省交通运输行业突发事件应急工作，决定启动和终止厅应急响应。</w:t>
      </w:r>
    </w:p>
    <w:p>
      <w:pPr>
        <w:pStyle w:val="44"/>
        <w:ind w:firstLine="640"/>
      </w:pPr>
      <w:r>
        <w:t>贯彻落实</w:t>
      </w:r>
      <w:r>
        <w:rPr>
          <w:rFonts w:hint="eastAsia"/>
        </w:rPr>
        <w:t>上级有关突发事件应急处置工作的</w:t>
      </w:r>
      <w:r>
        <w:t>指令批示和</w:t>
      </w:r>
      <w:r>
        <w:rPr>
          <w:rFonts w:hint="eastAsia"/>
        </w:rPr>
        <w:t>其他</w:t>
      </w:r>
      <w:r>
        <w:t>要求，</w:t>
      </w:r>
      <w:r>
        <w:rPr>
          <w:rFonts w:hint="eastAsia"/>
        </w:rPr>
        <w:t>组织</w:t>
      </w:r>
      <w:r>
        <w:t>制定具体交通</w:t>
      </w:r>
      <w:r>
        <w:rPr>
          <w:rFonts w:hint="eastAsia"/>
        </w:rPr>
        <w:t>运输</w:t>
      </w:r>
      <w:r>
        <w:t>保障措施，并组织实施</w:t>
      </w:r>
      <w:r>
        <w:rPr>
          <w:rFonts w:hint="eastAsia"/>
        </w:rPr>
        <w:t>。</w:t>
      </w:r>
    </w:p>
    <w:p>
      <w:pPr>
        <w:pStyle w:val="44"/>
        <w:ind w:firstLine="640"/>
      </w:pPr>
      <w:r>
        <w:rPr>
          <w:rFonts w:hint="eastAsia"/>
        </w:rPr>
        <w:t>及时掌握全省突发事件信息，</w:t>
      </w:r>
      <w:r>
        <w:t>统筹指挥全省交通运输</w:t>
      </w:r>
      <w:r>
        <w:rPr>
          <w:rFonts w:hint="eastAsia"/>
        </w:rPr>
        <w:t>行业突发事件应急</w:t>
      </w:r>
      <w:r>
        <w:t>工作，研究、决定、协调处理有关重大问题</w:t>
      </w:r>
      <w:r>
        <w:rPr>
          <w:rFonts w:hint="eastAsia"/>
        </w:rPr>
        <w:t>。</w:t>
      </w:r>
    </w:p>
    <w:p>
      <w:pPr>
        <w:pStyle w:val="44"/>
        <w:ind w:firstLine="640"/>
      </w:pPr>
      <w:r>
        <w:t>明确厅</w:t>
      </w:r>
      <w:r>
        <w:rPr>
          <w:rFonts w:hint="eastAsia"/>
        </w:rPr>
        <w:t>指挥部成员单位应急工作</w:t>
      </w:r>
      <w:r>
        <w:t>责任，督促检查</w:t>
      </w:r>
      <w:r>
        <w:rPr>
          <w:rFonts w:hint="eastAsia"/>
        </w:rPr>
        <w:t>突发事件防范和应急处置</w:t>
      </w:r>
      <w:r>
        <w:t>措施落实情况</w:t>
      </w:r>
      <w:r>
        <w:rPr>
          <w:rFonts w:hint="eastAsia"/>
        </w:rPr>
        <w:t>。</w:t>
      </w:r>
    </w:p>
    <w:p>
      <w:pPr>
        <w:pStyle w:val="44"/>
        <w:ind w:firstLine="640"/>
      </w:pPr>
      <w:r>
        <w:t>根据</w:t>
      </w:r>
      <w:r>
        <w:rPr>
          <w:rFonts w:hint="eastAsia"/>
        </w:rPr>
        <w:t>应急处置工作</w:t>
      </w:r>
      <w:r>
        <w:t>需要，</w:t>
      </w:r>
      <w:r>
        <w:rPr>
          <w:rFonts w:hint="eastAsia"/>
        </w:rPr>
        <w:t>协调交通运输行业应急力量，必要时，向省政府和交通运输部请求支援。</w:t>
      </w:r>
    </w:p>
    <w:p>
      <w:pPr>
        <w:pStyle w:val="44"/>
        <w:ind w:firstLine="640"/>
      </w:pPr>
      <w:r>
        <w:rPr>
          <w:rFonts w:hint="eastAsia"/>
        </w:rPr>
        <w:t>严格落实领导带班和2</w:t>
      </w:r>
      <w:r>
        <w:t>4</w:t>
      </w:r>
      <w:r>
        <w:rPr>
          <w:rFonts w:hint="eastAsia"/>
        </w:rPr>
        <w:t>小时值班制度，及时处置突发事件</w:t>
      </w:r>
      <w:r>
        <w:t>。</w:t>
      </w:r>
    </w:p>
    <w:p>
      <w:pPr>
        <w:pStyle w:val="44"/>
        <w:ind w:firstLine="640"/>
      </w:pPr>
      <w:r>
        <w:t>承</w:t>
      </w:r>
      <w:r>
        <w:rPr>
          <w:rFonts w:hint="eastAsia"/>
        </w:rPr>
        <w:t>办</w:t>
      </w:r>
      <w:r>
        <w:t>省委</w:t>
      </w:r>
      <w:r>
        <w:rPr>
          <w:rFonts w:hint="eastAsia"/>
        </w:rPr>
        <w:t>、</w:t>
      </w:r>
      <w:r>
        <w:t>省政府、交通运输部交办的其他事项。</w:t>
      </w:r>
    </w:p>
    <w:p>
      <w:pPr>
        <w:pStyle w:val="38"/>
        <w:ind w:firstLine="640"/>
      </w:pPr>
      <w:bookmarkStart w:id="13" w:name="_Toc94283109"/>
      <w:r>
        <w:rPr>
          <w:rFonts w:hint="eastAsia"/>
        </w:rPr>
        <w:t>应急办公室</w:t>
      </w:r>
      <w:bookmarkEnd w:id="13"/>
    </w:p>
    <w:p>
      <w:pPr>
        <w:pStyle w:val="35"/>
        <w:ind w:firstLine="640"/>
      </w:pPr>
      <w:r>
        <w:rPr>
          <w:rFonts w:hint="eastAsia"/>
        </w:rPr>
        <w:t>厅应急办公室（以下简称应急办）承担厅指挥部日常工作。</w:t>
      </w:r>
    </w:p>
    <w:p>
      <w:pPr>
        <w:pStyle w:val="35"/>
        <w:ind w:firstLine="640"/>
      </w:pPr>
      <w:r>
        <w:rPr>
          <w:rFonts w:hint="eastAsia"/>
        </w:rPr>
        <w:t>应急办职责：</w:t>
      </w:r>
    </w:p>
    <w:p>
      <w:pPr>
        <w:pStyle w:val="44"/>
        <w:ind w:firstLine="640"/>
      </w:pPr>
      <w:r>
        <w:rPr>
          <w:rFonts w:hint="eastAsia"/>
        </w:rPr>
        <w:t>负责落实厅指挥部指令批示。</w:t>
      </w:r>
    </w:p>
    <w:p>
      <w:pPr>
        <w:pStyle w:val="44"/>
        <w:ind w:firstLine="640"/>
      </w:pPr>
      <w:r>
        <w:rPr>
          <w:rFonts w:hint="eastAsia"/>
        </w:rPr>
        <w:t>具体承担突发事件应急协调工作。</w:t>
      </w:r>
    </w:p>
    <w:p>
      <w:pPr>
        <w:pStyle w:val="44"/>
        <w:ind w:firstLine="640"/>
      </w:pPr>
      <w:r>
        <w:rPr>
          <w:rFonts w:hint="eastAsia"/>
        </w:rPr>
        <w:t>负责</w:t>
      </w:r>
      <w:r>
        <w:t>组织</w:t>
      </w:r>
      <w:r>
        <w:rPr>
          <w:rFonts w:hint="eastAsia"/>
        </w:rPr>
        <w:t>厅</w:t>
      </w:r>
      <w:r>
        <w:t>应急预</w:t>
      </w:r>
      <w:r>
        <w:rPr>
          <w:rFonts w:hint="eastAsia"/>
        </w:rPr>
        <w:t>案的编制、修订、演练与评估。</w:t>
      </w:r>
    </w:p>
    <w:p>
      <w:pPr>
        <w:pStyle w:val="44"/>
        <w:ind w:firstLine="640"/>
      </w:pPr>
      <w:r>
        <w:rPr>
          <w:rFonts w:hint="eastAsia"/>
        </w:rPr>
        <w:t>负责信息的接收、处理、核实、研判，</w:t>
      </w:r>
      <w:r>
        <w:t>按规定做好信息</w:t>
      </w:r>
      <w:r>
        <w:rPr>
          <w:rFonts w:hint="eastAsia"/>
        </w:rPr>
        <w:t>报送</w:t>
      </w:r>
      <w:r>
        <w:t>工作</w:t>
      </w:r>
      <w:r>
        <w:rPr>
          <w:rFonts w:hint="eastAsia"/>
        </w:rPr>
        <w:t>。</w:t>
      </w:r>
    </w:p>
    <w:p>
      <w:pPr>
        <w:pStyle w:val="44"/>
        <w:ind w:firstLine="640"/>
      </w:pPr>
      <w:bookmarkStart w:id="14" w:name="_Hlk91842332"/>
      <w:r>
        <w:rPr>
          <w:rFonts w:hint="eastAsia"/>
        </w:rPr>
        <w:t>负责</w:t>
      </w:r>
      <w:r>
        <w:t>组织协调抢险救灾重点物资</w:t>
      </w:r>
      <w:r>
        <w:rPr>
          <w:rFonts w:hint="eastAsia"/>
        </w:rPr>
        <w:t>运输</w:t>
      </w:r>
      <w:r>
        <w:t>和紧急</w:t>
      </w:r>
      <w:r>
        <w:rPr>
          <w:rFonts w:hint="eastAsia"/>
        </w:rPr>
        <w:t>人员</w:t>
      </w:r>
      <w:r>
        <w:t>运输</w:t>
      </w:r>
      <w:r>
        <w:rPr>
          <w:rFonts w:hint="eastAsia"/>
        </w:rPr>
        <w:t>。</w:t>
      </w:r>
      <w:bookmarkEnd w:id="14"/>
    </w:p>
    <w:p>
      <w:pPr>
        <w:pStyle w:val="44"/>
        <w:ind w:firstLine="640"/>
      </w:pPr>
      <w:bookmarkStart w:id="15" w:name="_Hlk91842260"/>
      <w:r>
        <w:rPr>
          <w:rFonts w:hint="eastAsia"/>
        </w:rPr>
        <w:t>协调相关部门做好突发事件应急工作资金的落实和装备损毁的赔、补偿工作。</w:t>
      </w:r>
      <w:bookmarkEnd w:id="15"/>
    </w:p>
    <w:p>
      <w:pPr>
        <w:pStyle w:val="44"/>
        <w:ind w:firstLine="640"/>
      </w:pPr>
      <w:r>
        <w:t>承办厅指挥部交办的其他事项</w:t>
      </w:r>
      <w:r>
        <w:rPr>
          <w:rFonts w:hint="eastAsia"/>
        </w:rPr>
        <w:t>。</w:t>
      </w:r>
    </w:p>
    <w:p>
      <w:pPr>
        <w:pStyle w:val="38"/>
        <w:ind w:firstLine="640"/>
      </w:pPr>
      <w:bookmarkStart w:id="16" w:name="_Toc94283110"/>
      <w:r>
        <w:rPr>
          <w:rFonts w:hint="eastAsia"/>
        </w:rPr>
        <w:t>厅指挥部成员单位</w:t>
      </w:r>
      <w:bookmarkEnd w:id="16"/>
    </w:p>
    <w:p>
      <w:pPr>
        <w:pStyle w:val="35"/>
        <w:ind w:firstLine="640"/>
      </w:pPr>
      <w:r>
        <w:rPr>
          <w:rFonts w:hint="eastAsia"/>
        </w:rPr>
        <w:t>厅指挥部成员单位：</w:t>
      </w:r>
      <w:bookmarkStart w:id="17" w:name="_Hlk91842551"/>
      <w:r>
        <w:rPr>
          <w:rFonts w:hint="eastAsia"/>
        </w:rPr>
        <w:t>厅办公室、</w:t>
      </w:r>
      <w:bookmarkStart w:id="18" w:name="_Hlk91689219"/>
      <w:r>
        <w:rPr>
          <w:rFonts w:hint="eastAsia"/>
        </w:rPr>
        <w:t>厅政策研究室</w:t>
      </w:r>
      <w:bookmarkEnd w:id="18"/>
      <w:r>
        <w:rPr>
          <w:rFonts w:hint="eastAsia"/>
        </w:rPr>
        <w:t>、厅法规处、厅综合规划处、厅财务审计处、厅人事教育处、厅建设管理处、厅运输管理处、厅安全监督处（厅应急办）、厅科技处、厅执法监督局、厅机关党委、省交通工会、省交通事业发展中心、省运输事业发展中心、省交通运输发展集团有限公司、省交通基本建设质量检测站、省交通工程定额站、省高速公路联网管理中心、省交通通信中心、省邮政安全发展中心、河南国家区域性公路应急救援中心、河南交通职业技术学院、河南交通技师学校、厅机关服务中心、</w:t>
      </w:r>
      <w:r>
        <w:rPr>
          <w:rFonts w:hint="eastAsia" w:cs="宋体"/>
          <w:color w:val="000000"/>
          <w:kern w:val="0"/>
        </w:rPr>
        <w:t>高速公路联网监控收费通信服务有限公司</w:t>
      </w:r>
      <w:r>
        <w:rPr>
          <w:rFonts w:hint="eastAsia"/>
        </w:rPr>
        <w:t>等。</w:t>
      </w:r>
      <w:bookmarkEnd w:id="17"/>
    </w:p>
    <w:p>
      <w:pPr>
        <w:pStyle w:val="35"/>
        <w:ind w:firstLine="640"/>
      </w:pPr>
      <w:r>
        <w:rPr>
          <w:rFonts w:hint="eastAsia"/>
        </w:rPr>
        <w:t>厅指挥部成员单位职责：</w:t>
      </w:r>
    </w:p>
    <w:p>
      <w:pPr>
        <w:pStyle w:val="44"/>
        <w:ind w:firstLine="640"/>
      </w:pPr>
      <w:r>
        <w:rPr>
          <w:rFonts w:hint="eastAsia"/>
        </w:rPr>
        <w:t>厅办公室：协助厅指挥部做好突发事件应急综合协调工作；负责督促落实厅2</w:t>
      </w:r>
      <w:r>
        <w:t>4</w:t>
      </w:r>
      <w:r>
        <w:rPr>
          <w:rFonts w:hint="eastAsia"/>
        </w:rPr>
        <w:t>小时值班制度，做好突发事件应对工作记录</w:t>
      </w:r>
      <w:r>
        <w:t>；</w:t>
      </w:r>
      <w:r>
        <w:rPr>
          <w:rFonts w:hint="eastAsia"/>
        </w:rPr>
        <w:t>发生突发事件时，按照程序向厅指挥部报告；</w:t>
      </w:r>
      <w:bookmarkStart w:id="19" w:name="_Hlk94273706"/>
      <w:r>
        <w:t>承办厅指挥部交办的其他事项</w:t>
      </w:r>
      <w:bookmarkEnd w:id="19"/>
      <w:r>
        <w:t>。</w:t>
      </w:r>
    </w:p>
    <w:p>
      <w:pPr>
        <w:pStyle w:val="44"/>
        <w:ind w:firstLine="640"/>
      </w:pPr>
      <w:r>
        <w:rPr>
          <w:rFonts w:hint="eastAsia"/>
        </w:rPr>
        <w:t>厅政策研究室：负责提供突发事件应急处置工作相关政策支持；负责组织协调应急处置的宣传报道、舆情收集工作；负责甄别舆情信息，研判舆情风险，提出应对措施，及时回应社会关切；协助厅指挥部做好应急处置信息发布工作；承办厅指挥部交办的其他事项。</w:t>
      </w:r>
    </w:p>
    <w:p>
      <w:pPr>
        <w:pStyle w:val="44"/>
        <w:ind w:firstLine="640"/>
      </w:pPr>
      <w:r>
        <w:rPr>
          <w:rFonts w:hint="eastAsia"/>
        </w:rPr>
        <w:t>厅法规处：负责提供突发事件应急处置相关法律法规支持；负责突发事件应急相关规范性文件的合法性审核工作；承办厅指挥部交办的其他事项。</w:t>
      </w:r>
    </w:p>
    <w:p>
      <w:pPr>
        <w:pStyle w:val="44"/>
        <w:ind w:firstLine="640"/>
      </w:pPr>
      <w:r>
        <w:rPr>
          <w:rFonts w:hint="eastAsia"/>
        </w:rPr>
        <w:t>厅综合规划处：负责制定公路水路设施毁损修复计划；承办厅指挥部交办的其他事项。</w:t>
      </w:r>
    </w:p>
    <w:p>
      <w:pPr>
        <w:pStyle w:val="44"/>
        <w:ind w:firstLine="640"/>
      </w:pPr>
      <w:r>
        <w:rPr>
          <w:rFonts w:hint="eastAsia"/>
        </w:rPr>
        <w:t>厅财务审计处：</w:t>
      </w:r>
      <w:r>
        <w:t>负责</w:t>
      </w:r>
      <w:r>
        <w:rPr>
          <w:rFonts w:hint="eastAsia"/>
        </w:rPr>
        <w:t>应急处置工作</w:t>
      </w:r>
      <w:r>
        <w:t>资金落实，及时足额拨付公路水</w:t>
      </w:r>
      <w:r>
        <w:rPr>
          <w:rFonts w:hint="eastAsia"/>
        </w:rPr>
        <w:t>路</w:t>
      </w:r>
      <w:r>
        <w:t>设施毁损修复资金；根据上级指</w:t>
      </w:r>
      <w:r>
        <w:rPr>
          <w:rFonts w:hint="eastAsia"/>
        </w:rPr>
        <w:t>令</w:t>
      </w:r>
      <w:r>
        <w:t>，免征公路水路</w:t>
      </w:r>
      <w:r>
        <w:rPr>
          <w:rFonts w:hint="eastAsia"/>
        </w:rPr>
        <w:t>突发事件</w:t>
      </w:r>
      <w:r>
        <w:t>应急运输通行费</w:t>
      </w:r>
      <w:r>
        <w:rPr>
          <w:rFonts w:hint="eastAsia"/>
        </w:rPr>
        <w:t>；承办厅指挥部交办的其他事项。</w:t>
      </w:r>
    </w:p>
    <w:p>
      <w:pPr>
        <w:pStyle w:val="44"/>
        <w:ind w:firstLine="640"/>
      </w:pPr>
      <w:r>
        <w:rPr>
          <w:rFonts w:hint="eastAsia"/>
        </w:rPr>
        <w:t>厅人事教育处：</w:t>
      </w:r>
      <w:r>
        <w:t>配合开展</w:t>
      </w:r>
      <w:r>
        <w:rPr>
          <w:rFonts w:hint="eastAsia"/>
        </w:rPr>
        <w:t>突发事件</w:t>
      </w:r>
      <w:r>
        <w:t>应急救援人员培训教育工作</w:t>
      </w:r>
      <w:r>
        <w:rPr>
          <w:rFonts w:hint="eastAsia"/>
        </w:rPr>
        <w:t>；</w:t>
      </w:r>
      <w:r>
        <w:rPr>
          <w:rFonts w:ascii="Times New Roman" w:hAnsi="Times New Roman" w:cs="Times New Roman"/>
        </w:rPr>
        <w:t>对在</w:t>
      </w:r>
      <w:r>
        <w:rPr>
          <w:rFonts w:hint="eastAsia" w:ascii="Times New Roman" w:hAnsi="Times New Roman" w:cs="Times New Roman"/>
        </w:rPr>
        <w:t>应急处置工作</w:t>
      </w:r>
      <w:r>
        <w:rPr>
          <w:rFonts w:ascii="Times New Roman" w:hAnsi="Times New Roman" w:cs="Times New Roman"/>
        </w:rPr>
        <w:t>中表现突出</w:t>
      </w:r>
      <w:r>
        <w:rPr>
          <w:rFonts w:hint="eastAsia" w:ascii="Times New Roman" w:hAnsi="Times New Roman" w:cs="Times New Roman"/>
        </w:rPr>
        <w:t>的</w:t>
      </w:r>
      <w:r>
        <w:rPr>
          <w:rFonts w:ascii="Times New Roman" w:hAnsi="Times New Roman" w:cs="Times New Roman"/>
        </w:rPr>
        <w:t>集体和个人，依据有关规定</w:t>
      </w:r>
      <w:r>
        <w:rPr>
          <w:rFonts w:hint="eastAsia" w:ascii="Times New Roman" w:hAnsi="Times New Roman" w:cs="Times New Roman"/>
        </w:rPr>
        <w:t>提出</w:t>
      </w:r>
      <w:r>
        <w:rPr>
          <w:rFonts w:ascii="Times New Roman" w:hAnsi="Times New Roman" w:cs="Times New Roman"/>
        </w:rPr>
        <w:t>给予表彰和奖励</w:t>
      </w:r>
      <w:r>
        <w:rPr>
          <w:rFonts w:hint="eastAsia" w:ascii="Times New Roman" w:hAnsi="Times New Roman" w:cs="Times New Roman"/>
        </w:rPr>
        <w:t>的建议</w:t>
      </w:r>
      <w:r>
        <w:rPr>
          <w:rFonts w:ascii="Times New Roman" w:hAnsi="Times New Roman" w:cs="Times New Roman"/>
        </w:rPr>
        <w:t>；</w:t>
      </w:r>
      <w:r>
        <w:rPr>
          <w:rFonts w:hint="eastAsia"/>
        </w:rPr>
        <w:t>承办厅指挥部交办的其他事项。</w:t>
      </w:r>
    </w:p>
    <w:p>
      <w:pPr>
        <w:pStyle w:val="44"/>
        <w:ind w:firstLine="640"/>
      </w:pPr>
      <w:r>
        <w:rPr>
          <w:rFonts w:hint="eastAsia"/>
        </w:rPr>
        <w:t>厅建设管理处：负责公路水路工程在建项目的突发事件应急处置工作；指导公路水路基础设施毁损修复工作；督促公路水路工程项目建设单位完善应急预案和现场处置方案，及时储备应急物资，强化应急演练；负责开展突发事件预警和应急处置期间公路水路工程建设项目安全生产监督检查工作；承办厅指挥部交办的其他事项。</w:t>
      </w:r>
    </w:p>
    <w:p>
      <w:pPr>
        <w:pStyle w:val="44"/>
        <w:ind w:firstLine="640"/>
      </w:pPr>
      <w:r>
        <w:rPr>
          <w:rFonts w:hint="eastAsia"/>
        </w:rPr>
        <w:t>厅运输管理处：</w:t>
      </w:r>
      <w:r>
        <w:t>指导道路运输、水路运输、城市公交、出租汽车、轨道交通等</w:t>
      </w:r>
      <w:r>
        <w:rPr>
          <w:rFonts w:hint="eastAsia"/>
        </w:rPr>
        <w:t>应急处置</w:t>
      </w:r>
      <w:r>
        <w:t>工作；指导</w:t>
      </w:r>
      <w:r>
        <w:rPr>
          <w:rFonts w:hint="eastAsia"/>
        </w:rPr>
        <w:t>市、县</w:t>
      </w:r>
      <w:r>
        <w:t>运输管理部门建立应急运输队伍；</w:t>
      </w:r>
      <w:bookmarkStart w:id="20" w:name="_Hlk93413873"/>
      <w:r>
        <w:rPr>
          <w:rFonts w:hint="eastAsia"/>
        </w:rPr>
        <w:t>监督指导</w:t>
      </w:r>
      <w:bookmarkEnd w:id="20"/>
      <w:r>
        <w:t>抢险救灾重点物资运输和紧急客货运输；</w:t>
      </w:r>
      <w:r>
        <w:rPr>
          <w:rFonts w:hint="eastAsia"/>
        </w:rPr>
        <w:t>监督</w:t>
      </w:r>
      <w:r>
        <w:t>指导</w:t>
      </w:r>
      <w:r>
        <w:rPr>
          <w:rFonts w:hint="eastAsia"/>
        </w:rPr>
        <w:t>突发事件预警和应急处置期间</w:t>
      </w:r>
      <w:r>
        <w:t>道路、水路运输安全生产</w:t>
      </w:r>
      <w:r>
        <w:rPr>
          <w:rFonts w:hint="eastAsia"/>
        </w:rPr>
        <w:t>责任落实</w:t>
      </w:r>
      <w:r>
        <w:t>工作</w:t>
      </w:r>
      <w:r>
        <w:rPr>
          <w:rFonts w:hint="eastAsia"/>
        </w:rPr>
        <w:t>；承办厅指挥部交办的其他事项。</w:t>
      </w:r>
    </w:p>
    <w:p>
      <w:pPr>
        <w:pStyle w:val="44"/>
        <w:ind w:firstLine="640"/>
      </w:pPr>
      <w:r>
        <w:t>厅安全监督处：</w:t>
      </w:r>
      <w:r>
        <w:rPr>
          <w:rFonts w:hint="eastAsia"/>
        </w:rPr>
        <w:t>负责落实厅指挥部指令批示；负责</w:t>
      </w:r>
      <w:r>
        <w:t>组织</w:t>
      </w:r>
      <w:r>
        <w:rPr>
          <w:rFonts w:hint="eastAsia"/>
        </w:rPr>
        <w:t>厅</w:t>
      </w:r>
      <w:r>
        <w:t>应急预</w:t>
      </w:r>
      <w:r>
        <w:rPr>
          <w:rFonts w:hint="eastAsia"/>
        </w:rPr>
        <w:t>案编制、修订、演练与评估，并监督预案的实施；</w:t>
      </w:r>
      <w:r>
        <w:t>指导有关安全生产和应急管理机制建设</w:t>
      </w:r>
      <w:r>
        <w:rPr>
          <w:rFonts w:hint="eastAsia"/>
        </w:rPr>
        <w:t>；</w:t>
      </w:r>
      <w:r>
        <w:t>依法组织或参与有关事故调查处理工作</w:t>
      </w:r>
      <w:r>
        <w:rPr>
          <w:rFonts w:hint="eastAsia"/>
        </w:rPr>
        <w:t>；负责信息的接收、处理、核实、研判，</w:t>
      </w:r>
      <w:r>
        <w:t>按规定做好信息</w:t>
      </w:r>
      <w:r>
        <w:rPr>
          <w:rFonts w:hint="eastAsia"/>
        </w:rPr>
        <w:t>报送</w:t>
      </w:r>
      <w:r>
        <w:t>工作</w:t>
      </w:r>
      <w:r>
        <w:rPr>
          <w:rFonts w:hint="eastAsia"/>
        </w:rPr>
        <w:t>；承办厅指挥部交办的其他事项。</w:t>
      </w:r>
    </w:p>
    <w:p>
      <w:pPr>
        <w:pStyle w:val="44"/>
        <w:ind w:firstLine="640"/>
      </w:pPr>
      <w:r>
        <w:rPr>
          <w:rFonts w:hint="eastAsia"/>
        </w:rPr>
        <w:t>厅科技处：负责组织协调有关突发事件应急技术攻关项目研究；指导行业网络安全工作；负责拟定应急科技政策并监督实施；承办厅指挥部交办的其他事项。</w:t>
      </w:r>
    </w:p>
    <w:p>
      <w:pPr>
        <w:pStyle w:val="44"/>
        <w:ind w:firstLine="640"/>
      </w:pPr>
      <w:r>
        <w:rPr>
          <w:rFonts w:hint="eastAsia"/>
        </w:rPr>
        <w:t>厅执法监督局：根据交通运输突发事件应急处置需要，按程序调用全省交通运输综合行政执法队伍；参与交通管制的组织协调工作；保障应急运输车辆优先通行，必要时开辟绿色通道；承办厅指挥部交办的其他事项。</w:t>
      </w:r>
    </w:p>
    <w:p>
      <w:pPr>
        <w:pStyle w:val="44"/>
        <w:ind w:firstLine="640"/>
      </w:pPr>
      <w:r>
        <w:rPr>
          <w:rFonts w:hint="eastAsia"/>
        </w:rPr>
        <w:t>厅机关党委：指导厅属各单位强化党建引领，充分发挥党组织的战斗堡垒和党员的先锋模范作用；承办厅指挥部交办的其他事项。</w:t>
      </w:r>
    </w:p>
    <w:p>
      <w:pPr>
        <w:pStyle w:val="44"/>
        <w:ind w:firstLine="640"/>
      </w:pPr>
      <w:r>
        <w:rPr>
          <w:rFonts w:hint="eastAsia"/>
        </w:rPr>
        <w:t>省交通工会：负责对劳动条件和安全卫生设施投产使用情况进行监督，维护职工权益；参与职工因工伤亡事故和其他严重危害职工健康问题的调查处理；参与伤亡职工家属的慰问、抚恤工作；承办厅指挥部交办的其他事项。</w:t>
      </w:r>
    </w:p>
    <w:p>
      <w:pPr>
        <w:pStyle w:val="44"/>
        <w:ind w:firstLine="640"/>
      </w:pPr>
      <w:r>
        <w:rPr>
          <w:rFonts w:hint="eastAsia"/>
        </w:rPr>
        <w:t>省交通事业发展中心：承担全省普通公路和水路突发事件应急工作，组织协调干线公路抢修保通等工作；负责重要干线路网运行监测和出行信息服务，组织实施普通公路应急处置工作；负责水上交通管制，运营船舶、浮桥和航道运营安全监督管理；督促指导市、县公路水路管理部门建立健全普通公路和水路抢险救援队伍，落实应急物资储备，完善应急预案，加强公路及其附属设施的维修养护，组织省级抢险救援船舶、队伍的组建；负责水上抢险救灾应急处置工作；组织对易受突发事件影响部位的隐患排查和预防性整治；承办厅指挥部交办的其他事项。</w:t>
      </w:r>
    </w:p>
    <w:p>
      <w:pPr>
        <w:pStyle w:val="44"/>
        <w:ind w:firstLine="640"/>
      </w:pPr>
      <w:r>
        <w:rPr>
          <w:rFonts w:hint="eastAsia"/>
        </w:rPr>
        <w:t>省运输事业发展中心：</w:t>
      </w:r>
      <w:r>
        <w:t>承担</w:t>
      </w:r>
      <w:r>
        <w:rPr>
          <w:rFonts w:hint="eastAsia"/>
        </w:rPr>
        <w:t>突发事件</w:t>
      </w:r>
      <w:r>
        <w:t>应急</w:t>
      </w:r>
      <w:r>
        <w:rPr>
          <w:rFonts w:hint="eastAsia"/>
        </w:rPr>
        <w:t>运输</w:t>
      </w:r>
      <w:r>
        <w:t>保障事务性工作</w:t>
      </w:r>
      <w:r>
        <w:rPr>
          <w:rFonts w:hint="eastAsia"/>
        </w:rPr>
        <w:t>；</w:t>
      </w:r>
      <w:r>
        <w:t>配合做好</w:t>
      </w:r>
      <w:r>
        <w:rPr>
          <w:rFonts w:hint="eastAsia"/>
        </w:rPr>
        <w:t>突发事件</w:t>
      </w:r>
      <w:r>
        <w:t>应急运输保障队伍建设及应急客货运输车辆、驾驶员等应急力量储备相关工作</w:t>
      </w:r>
      <w:r>
        <w:rPr>
          <w:rFonts w:hint="eastAsia"/>
        </w:rPr>
        <w:t>；</w:t>
      </w:r>
      <w:bookmarkStart w:id="21" w:name="_Hlk93413776"/>
      <w:r>
        <w:rPr>
          <w:rFonts w:hint="eastAsia"/>
        </w:rPr>
        <w:t>负责协调突发事件道路运输应急运力；</w:t>
      </w:r>
      <w:bookmarkEnd w:id="21"/>
      <w:r>
        <w:rPr>
          <w:rFonts w:hint="eastAsia"/>
        </w:rPr>
        <w:t>配合转移、疏散或撤离易受突发事件危害的人员；承办厅指挥部交办的其他事项。</w:t>
      </w:r>
    </w:p>
    <w:p>
      <w:pPr>
        <w:pStyle w:val="44"/>
        <w:ind w:firstLine="640"/>
      </w:pPr>
      <w:r>
        <w:t>省交通运输发展集团有限公司：</w:t>
      </w:r>
      <w:r>
        <w:rPr>
          <w:rFonts w:hint="eastAsia"/>
        </w:rPr>
        <w:t>负责本单位突发事件应急管理工作，完善应急预案，组建应急队伍，储备应急物资；灾情发生时，负责</w:t>
      </w:r>
      <w:bookmarkStart w:id="22" w:name="_Hlk94278017"/>
      <w:r>
        <w:rPr>
          <w:rFonts w:hint="eastAsia"/>
        </w:rPr>
        <w:t>集团所属单位</w:t>
      </w:r>
      <w:bookmarkEnd w:id="22"/>
      <w:r>
        <w:rPr>
          <w:rFonts w:hint="eastAsia"/>
        </w:rPr>
        <w:t>毁损交通设施的抢修重建工作；承办厅指挥部交办的其他事项。</w:t>
      </w:r>
    </w:p>
    <w:p>
      <w:pPr>
        <w:pStyle w:val="44"/>
        <w:ind w:firstLine="640"/>
      </w:pPr>
      <w:r>
        <w:rPr>
          <w:rFonts w:hint="eastAsia"/>
        </w:rPr>
        <w:t>省交通基本建设质量检测站：配合开展公路水路工程建设项目的突发事件应急处置工作；参与完善公路水路工程生产安全事故应急预案；配合开展公路水路工程建设项目安全生产监督检查和突发事件信息上报工作；承办厅指挥部交办的其他事项。</w:t>
      </w:r>
    </w:p>
    <w:p>
      <w:pPr>
        <w:pStyle w:val="44"/>
        <w:ind w:firstLine="640"/>
      </w:pPr>
      <w:r>
        <w:rPr>
          <w:rFonts w:hint="eastAsia"/>
        </w:rPr>
        <w:t>省交通工程定额站：负责灾后重建工程造价审核工作；承办厅指挥部交办的其他事项。</w:t>
      </w:r>
    </w:p>
    <w:p>
      <w:pPr>
        <w:pStyle w:val="44"/>
        <w:ind w:firstLine="640"/>
      </w:pPr>
      <w:r>
        <w:rPr>
          <w:rFonts w:hint="eastAsia"/>
        </w:rPr>
        <w:t>省高速公路联网管理中心：承担高速公路</w:t>
      </w:r>
      <w:bookmarkStart w:id="23" w:name="_Hlk94278413"/>
      <w:r>
        <w:rPr>
          <w:rFonts w:hint="eastAsia"/>
        </w:rPr>
        <w:t>路网运行监测、</w:t>
      </w:r>
      <w:bookmarkEnd w:id="23"/>
      <w:r>
        <w:rPr>
          <w:rFonts w:hint="eastAsia"/>
        </w:rPr>
        <w:t>出行信息服务</w:t>
      </w:r>
      <w:bookmarkStart w:id="24" w:name="_Hlk94278429"/>
      <w:r>
        <w:rPr>
          <w:rFonts w:hint="eastAsia"/>
        </w:rPr>
        <w:t>和应急处置的协调工作</w:t>
      </w:r>
      <w:bookmarkEnd w:id="24"/>
      <w:r>
        <w:rPr>
          <w:rFonts w:hint="eastAsia"/>
        </w:rPr>
        <w:t>；指导高速公路运营管理单位对存在的安全隐患和地质灾害风险的路段进行排查和预防性整治；督促指导各高速公路运营单位建立健全应急预案体系、抢险救援队伍、物资器材；指导对突发事件造成的损毁路段进行抢修抢通；配合公安交管部门开展应急相关路段的交通管制工作；负责为应急运输车辆提供高速通行绿色通道，按照规定免征通行费；承办厅指挥部交办的其他事项。</w:t>
      </w:r>
    </w:p>
    <w:p>
      <w:pPr>
        <w:pStyle w:val="44"/>
        <w:ind w:firstLine="640"/>
      </w:pPr>
      <w:r>
        <w:rPr>
          <w:rFonts w:hint="eastAsia"/>
        </w:rPr>
        <w:t>省交通通信中心：负责厅应急通信保障工作，为突发事件应急处置工作现场提供通信技术支持和保障支援；承办厅指挥部交办的其他事项。</w:t>
      </w:r>
    </w:p>
    <w:p>
      <w:pPr>
        <w:pStyle w:val="44"/>
        <w:ind w:firstLine="640"/>
      </w:pPr>
      <w:r>
        <w:t>省邮政安全发展中心：</w:t>
      </w:r>
      <w:bookmarkStart w:id="25" w:name="_Hlk94278783"/>
      <w:r>
        <w:rPr>
          <w:rFonts w:hint="eastAsia" w:cs="仿宋"/>
        </w:rPr>
        <w:t>配合全省邮政业安全和应急管理体系的组织建设、日常运行管理；配合开展全省邮政业重大突发事件的统筹调度、协调疏导、调查处置工作；</w:t>
      </w:r>
      <w:bookmarkEnd w:id="25"/>
      <w:r>
        <w:rPr>
          <w:rFonts w:hint="eastAsia" w:cs="仿宋"/>
        </w:rPr>
        <w:t>承办厅指挥部交办的其他事项。</w:t>
      </w:r>
    </w:p>
    <w:p>
      <w:pPr>
        <w:pStyle w:val="44"/>
        <w:ind w:firstLine="640"/>
      </w:pPr>
      <w:r>
        <w:rPr>
          <w:rFonts w:hint="eastAsia"/>
        </w:rPr>
        <w:t>河南国家区域性公路应急救援中心：负责公路抢险救援装备、物资、器材、设备的更新、维护和管养，根据上级要求及时调动设施设备进行抢险救灾；承办厅指挥部交办的其他事项。</w:t>
      </w:r>
    </w:p>
    <w:p>
      <w:pPr>
        <w:pStyle w:val="44"/>
        <w:ind w:firstLine="640"/>
      </w:pPr>
      <w:r>
        <w:rPr>
          <w:rFonts w:hint="eastAsia"/>
        </w:rPr>
        <w:t>河南交通职业技术学院：</w:t>
      </w:r>
      <w:r>
        <w:t>配合</w:t>
      </w:r>
      <w:r>
        <w:rPr>
          <w:rFonts w:hint="eastAsia"/>
        </w:rPr>
        <w:t>厅指挥部</w:t>
      </w:r>
      <w:r>
        <w:t>做好</w:t>
      </w:r>
      <w:r>
        <w:rPr>
          <w:rFonts w:hint="eastAsia"/>
        </w:rPr>
        <w:t>突发事件应急处置</w:t>
      </w:r>
      <w:r>
        <w:t>工作</w:t>
      </w:r>
      <w:r>
        <w:rPr>
          <w:rFonts w:hint="eastAsia"/>
        </w:rPr>
        <w:t>；负责本校应急处置措施的实施工作；承办厅指挥部交办的其他事项。</w:t>
      </w:r>
    </w:p>
    <w:p>
      <w:pPr>
        <w:pStyle w:val="44"/>
        <w:ind w:firstLine="640"/>
      </w:pPr>
      <w:r>
        <w:rPr>
          <w:rFonts w:hint="eastAsia"/>
        </w:rPr>
        <w:t>河南交通技师学校：</w:t>
      </w:r>
      <w:r>
        <w:t>配合</w:t>
      </w:r>
      <w:r>
        <w:rPr>
          <w:rFonts w:hint="eastAsia"/>
        </w:rPr>
        <w:t>厅指挥部</w:t>
      </w:r>
      <w:r>
        <w:t>做好</w:t>
      </w:r>
      <w:r>
        <w:rPr>
          <w:rFonts w:hint="eastAsia"/>
        </w:rPr>
        <w:t>突发事件应急处置</w:t>
      </w:r>
      <w:r>
        <w:t>工作</w:t>
      </w:r>
      <w:r>
        <w:rPr>
          <w:rFonts w:hint="eastAsia"/>
        </w:rPr>
        <w:t>；负责本校应急处置措施的实施工作；承办厅指挥部交办的其他事项。</w:t>
      </w:r>
    </w:p>
    <w:p>
      <w:pPr>
        <w:pStyle w:val="44"/>
        <w:ind w:firstLine="640"/>
      </w:pPr>
      <w:r>
        <w:rPr>
          <w:rFonts w:hint="eastAsia"/>
        </w:rPr>
        <w:t>厅机关服务中心：负责厅机关综合办公楼的突发事件应急工作；负责厅突发事件应急响应期间后勤保障工作；承办厅指挥部交办的其他事项。</w:t>
      </w:r>
    </w:p>
    <w:p>
      <w:pPr>
        <w:pStyle w:val="44"/>
        <w:ind w:firstLine="640"/>
      </w:pPr>
      <w:r>
        <w:rPr>
          <w:rFonts w:hint="eastAsia" w:cs="宋体"/>
          <w:color w:val="000000"/>
          <w:kern w:val="0"/>
        </w:rPr>
        <w:t>高速公路联网监控收费通信服务有限公司：负责高速公路应急通信保障</w:t>
      </w:r>
      <w:r>
        <w:rPr>
          <w:rFonts w:hint="eastAsia"/>
        </w:rPr>
        <w:t>；承办厅指挥部交办的其他事项。</w:t>
      </w:r>
    </w:p>
    <w:p>
      <w:pPr>
        <w:pStyle w:val="38"/>
        <w:ind w:firstLine="640"/>
      </w:pPr>
      <w:bookmarkStart w:id="26" w:name="_Toc94283111"/>
      <w:r>
        <w:t>应急工作组</w:t>
      </w:r>
      <w:bookmarkEnd w:id="26"/>
    </w:p>
    <w:p>
      <w:pPr>
        <w:pStyle w:val="35"/>
        <w:ind w:firstLine="640"/>
      </w:pPr>
      <w:r>
        <w:rPr>
          <w:rFonts w:hint="eastAsia" w:cs="宋体"/>
          <w:color w:val="000000"/>
          <w:kern w:val="0"/>
        </w:rPr>
        <w:t>厅指挥部设综合协调组、</w:t>
      </w:r>
      <w:r>
        <w:rPr>
          <w:rFonts w:hint="eastAsia"/>
        </w:rPr>
        <w:t>普通公路和水路抢险救援组、高速公路抢险救援组、道路运输保障和抢险救援组、</w:t>
      </w:r>
      <w:r>
        <w:rPr>
          <w:rFonts w:hint="eastAsia" w:cs="宋体"/>
          <w:color w:val="000000"/>
          <w:kern w:val="0"/>
        </w:rPr>
        <w:t>宣传报道组、通信保障组、后勤保障组等</w:t>
      </w:r>
      <w:r>
        <w:rPr>
          <w:rFonts w:cs="宋体"/>
          <w:color w:val="000000"/>
          <w:kern w:val="0"/>
        </w:rPr>
        <w:t>7</w:t>
      </w:r>
      <w:r>
        <w:rPr>
          <w:rFonts w:hint="eastAsia" w:cs="宋体"/>
          <w:color w:val="000000"/>
          <w:kern w:val="0"/>
        </w:rPr>
        <w:t>个工作组。</w:t>
      </w:r>
    </w:p>
    <w:p>
      <w:pPr>
        <w:pStyle w:val="41"/>
        <w:ind w:firstLine="640"/>
      </w:pPr>
      <w:r>
        <w:rPr>
          <w:rFonts w:hint="eastAsia"/>
        </w:rPr>
        <w:t>综合协调组</w:t>
      </w:r>
    </w:p>
    <w:p>
      <w:pPr>
        <w:pStyle w:val="35"/>
        <w:ind w:firstLine="640"/>
        <w:rPr>
          <w:rFonts w:cs="宋体"/>
          <w:color w:val="000000"/>
          <w:kern w:val="0"/>
        </w:rPr>
      </w:pPr>
      <w:r>
        <w:rPr>
          <w:rFonts w:hint="eastAsia" w:cs="宋体"/>
          <w:color w:val="000000"/>
          <w:kern w:val="0"/>
        </w:rPr>
        <w:t>组长：厅应急办负责人</w:t>
      </w:r>
    </w:p>
    <w:p>
      <w:pPr>
        <w:pStyle w:val="35"/>
        <w:ind w:firstLine="640"/>
        <w:rPr>
          <w:rFonts w:cs="宋体"/>
          <w:color w:val="000000"/>
          <w:kern w:val="0"/>
        </w:rPr>
      </w:pPr>
      <w:r>
        <w:rPr>
          <w:rFonts w:hint="eastAsia" w:cs="宋体"/>
          <w:color w:val="000000"/>
          <w:kern w:val="0"/>
        </w:rPr>
        <w:t>成员：</w:t>
      </w:r>
      <w:bookmarkStart w:id="27" w:name="OLE_LINK2"/>
      <w:r>
        <w:rPr>
          <w:rFonts w:hint="eastAsia"/>
        </w:rPr>
        <w:t>厅办公室、厅政策研究室、厅法规处、厅综合规划处、厅财务审计处、厅人事教育处、厅建设管理处、厅运输管理处、厅安全监督处、厅科技处、厅执法监督局、厅机关党委、省交通事业发展中心、省运输事业发展中心、省高速公路联网管理中心、省交通通信中心</w:t>
      </w:r>
      <w:bookmarkEnd w:id="27"/>
      <w:r>
        <w:rPr>
          <w:rFonts w:hint="eastAsia"/>
        </w:rPr>
        <w:t>、</w:t>
      </w:r>
      <w:r>
        <w:t>河南国家区域性公路应急救援中心</w:t>
      </w:r>
      <w:r>
        <w:rPr>
          <w:rFonts w:hint="eastAsia"/>
        </w:rPr>
        <w:t>等厅指挥部成员单位</w:t>
      </w:r>
      <w:bookmarkStart w:id="28" w:name="OLE_LINK8"/>
      <w:r>
        <w:rPr>
          <w:rFonts w:hint="eastAsia"/>
        </w:rPr>
        <w:t>相关业务分管负责人</w:t>
      </w:r>
      <w:bookmarkEnd w:id="28"/>
      <w:r>
        <w:rPr>
          <w:rFonts w:hint="eastAsia" w:cs="宋体"/>
          <w:kern w:val="0"/>
        </w:rPr>
        <w:t>。</w:t>
      </w:r>
    </w:p>
    <w:p>
      <w:pPr>
        <w:pStyle w:val="35"/>
        <w:ind w:firstLine="640"/>
        <w:rPr>
          <w:rFonts w:cs="宋体"/>
          <w:color w:val="000000"/>
          <w:kern w:val="0"/>
        </w:rPr>
      </w:pPr>
      <w:r>
        <w:rPr>
          <w:rFonts w:hint="eastAsia" w:cs="宋体"/>
          <w:color w:val="000000"/>
          <w:kern w:val="0"/>
        </w:rPr>
        <w:t>职责：负责交通运输突发事件应急综合协调工作；负责起草重要报告、综合类文件；根据厅指挥部要求，统一向上级和其他相关部门报送应急工作文件；</w:t>
      </w:r>
      <w:bookmarkStart w:id="29" w:name="OLE_LINK6"/>
      <w:r>
        <w:rPr>
          <w:rFonts w:hint="eastAsia" w:cs="宋体"/>
          <w:color w:val="000000"/>
          <w:kern w:val="0"/>
        </w:rPr>
        <w:t>综合协调交通运输系统抢险救援力量，开展抢险救援工作；</w:t>
      </w:r>
      <w:bookmarkEnd w:id="29"/>
      <w:r>
        <w:rPr>
          <w:rFonts w:hint="eastAsia"/>
        </w:rPr>
        <w:t>承办厅指挥部交办的其他事项</w:t>
      </w:r>
      <w:r>
        <w:rPr>
          <w:rFonts w:hint="eastAsia" w:cs="宋体"/>
          <w:color w:val="000000"/>
          <w:kern w:val="0"/>
        </w:rPr>
        <w:t>。</w:t>
      </w:r>
    </w:p>
    <w:p>
      <w:pPr>
        <w:pStyle w:val="41"/>
        <w:ind w:firstLine="640"/>
      </w:pPr>
      <w:r>
        <w:rPr>
          <w:rFonts w:hint="eastAsia"/>
        </w:rPr>
        <w:t>普通公路和水路抢险救援组</w:t>
      </w:r>
    </w:p>
    <w:p>
      <w:pPr>
        <w:pStyle w:val="35"/>
        <w:ind w:firstLine="640"/>
      </w:pPr>
      <w:r>
        <w:rPr>
          <w:rFonts w:hint="eastAsia"/>
        </w:rPr>
        <w:t>组长：省交通事业发展中心负责人</w:t>
      </w:r>
    </w:p>
    <w:p>
      <w:pPr>
        <w:pStyle w:val="35"/>
        <w:ind w:firstLine="640"/>
      </w:pPr>
      <w:r>
        <w:rPr>
          <w:rFonts w:hint="eastAsia"/>
        </w:rPr>
        <w:t>成员：厅建设管理处、厅执法监督局、省交通事业发展中心、省高速公路联网管理中心、河南国家区域性公路应急救援中心等厅指挥部成员单位相关业务分管负责人。</w:t>
      </w:r>
    </w:p>
    <w:p>
      <w:pPr>
        <w:pStyle w:val="35"/>
        <w:ind w:firstLine="640"/>
      </w:pPr>
      <w:r>
        <w:rPr>
          <w:rFonts w:hint="eastAsia"/>
        </w:rPr>
        <w:t>职责：负责组织抢修损毁的</w:t>
      </w:r>
      <w:bookmarkStart w:id="30" w:name="_Hlk94279956"/>
      <w:r>
        <w:rPr>
          <w:rFonts w:hint="eastAsia"/>
        </w:rPr>
        <w:t>普通公路和水路</w:t>
      </w:r>
      <w:bookmarkEnd w:id="30"/>
      <w:r>
        <w:rPr>
          <w:rFonts w:hint="eastAsia"/>
        </w:rPr>
        <w:t>交通基础设施；必要时配合相关部门实施交通管制，确保应急指挥、抢险救援、物资运输车辆优先通行；组织拟定保通、绕行方案，并组织实施；负责水上基础设施安全运行管理；协调紧急抢险、物资运输和撤离人员所需船舶；承办厅指挥部交办的其他事项。</w:t>
      </w:r>
    </w:p>
    <w:p>
      <w:pPr>
        <w:pStyle w:val="41"/>
        <w:ind w:firstLine="640"/>
      </w:pPr>
      <w:r>
        <w:rPr>
          <w:rFonts w:hint="eastAsia"/>
        </w:rPr>
        <w:t>高速公路抢险救援组</w:t>
      </w:r>
    </w:p>
    <w:p>
      <w:pPr>
        <w:pStyle w:val="35"/>
        <w:ind w:firstLine="640"/>
      </w:pPr>
      <w:r>
        <w:rPr>
          <w:rFonts w:hint="eastAsia"/>
        </w:rPr>
        <w:t>组长：省高速公路联网管理中心负责人</w:t>
      </w:r>
    </w:p>
    <w:p>
      <w:pPr>
        <w:pStyle w:val="35"/>
        <w:ind w:firstLine="640"/>
      </w:pPr>
      <w:r>
        <w:rPr>
          <w:rFonts w:hint="eastAsia"/>
        </w:rPr>
        <w:t>成员：厅建设管理处、厅执法监督局、省交通事业发展中心、省高速公路联网管理中心、河南国家区域性公路应急救援中心等厅指挥部成员单位相关业务分管负责人。</w:t>
      </w:r>
    </w:p>
    <w:p>
      <w:pPr>
        <w:pStyle w:val="35"/>
        <w:ind w:firstLine="640"/>
      </w:pPr>
      <w:r>
        <w:rPr>
          <w:rFonts w:hint="eastAsia"/>
        </w:rPr>
        <w:t>职责：</w:t>
      </w:r>
      <w:bookmarkStart w:id="31" w:name="_Hlk94280388"/>
      <w:r>
        <w:rPr>
          <w:rFonts w:hint="eastAsia"/>
        </w:rPr>
        <w:t>负责组织抢修损毁的高速公路交通基础设施</w:t>
      </w:r>
      <w:bookmarkEnd w:id="31"/>
      <w:r>
        <w:rPr>
          <w:rFonts w:hint="eastAsia"/>
        </w:rPr>
        <w:t>；必要时配合相关部门实施交通管制，确保应急指挥、抢险救援、物资运输车辆优先通行；组织拟定保通、绕行方案，并组织实施；组织开通应急救援“绿色通道”；承办厅指挥部交办的其他事项。</w:t>
      </w:r>
    </w:p>
    <w:p>
      <w:pPr>
        <w:pStyle w:val="41"/>
        <w:spacing w:line="560" w:lineRule="exact"/>
        <w:ind w:firstLine="640"/>
      </w:pPr>
      <w:r>
        <w:rPr>
          <w:rFonts w:hint="eastAsia"/>
        </w:rPr>
        <w:t>道路运输保障和抢险救援组</w:t>
      </w:r>
    </w:p>
    <w:p>
      <w:pPr>
        <w:pStyle w:val="35"/>
        <w:spacing w:line="560" w:lineRule="exact"/>
        <w:ind w:firstLine="640"/>
      </w:pPr>
      <w:r>
        <w:rPr>
          <w:rFonts w:hint="eastAsia"/>
        </w:rPr>
        <w:t>组长：省运输事业发展中心负责人</w:t>
      </w:r>
    </w:p>
    <w:p>
      <w:pPr>
        <w:pStyle w:val="35"/>
        <w:spacing w:line="560" w:lineRule="exact"/>
        <w:ind w:firstLine="640"/>
      </w:pPr>
      <w:r>
        <w:rPr>
          <w:rFonts w:hint="eastAsia"/>
        </w:rPr>
        <w:t>成员：</w:t>
      </w:r>
      <w:r>
        <w:rPr>
          <w:rFonts w:hint="eastAsia" w:cs="宋体"/>
          <w:color w:val="000000"/>
          <w:kern w:val="0"/>
        </w:rPr>
        <w:t>厅运输管理处、厅执法监督局、省交通事业发展中心、省运输事业发展中心、省高速公路联网管理中心、河南国家区域性公路应急救援中心等厅指挥部成员单位相关业务分管负责人。</w:t>
      </w:r>
    </w:p>
    <w:p>
      <w:pPr>
        <w:pStyle w:val="35"/>
        <w:ind w:firstLine="640"/>
      </w:pPr>
      <w:r>
        <w:rPr>
          <w:rFonts w:hint="eastAsia"/>
        </w:rPr>
        <w:t>职责：负责组织应急运输车辆，保障抢险救灾人员和物资装备运输，确保受灾人员的疏散和安全撤离；协调与其他运输方式的联运工作；组织或配合转移、疏散或撤离易受突发事件危害的人员；指导道路运输、城市客运等重点领域的抢险救灾工作；承办厅指挥部交办的其他事项。</w:t>
      </w:r>
    </w:p>
    <w:p>
      <w:pPr>
        <w:pStyle w:val="41"/>
        <w:ind w:firstLine="640"/>
      </w:pPr>
      <w:r>
        <w:rPr>
          <w:rFonts w:hint="eastAsia"/>
        </w:rPr>
        <w:t>宣传报道组</w:t>
      </w:r>
    </w:p>
    <w:p>
      <w:pPr>
        <w:pStyle w:val="35"/>
        <w:ind w:firstLine="640"/>
        <w:rPr>
          <w:rFonts w:cs="宋体"/>
          <w:color w:val="000000"/>
          <w:kern w:val="0"/>
        </w:rPr>
      </w:pPr>
      <w:r>
        <w:rPr>
          <w:rFonts w:hint="eastAsia" w:cs="宋体"/>
          <w:color w:val="000000"/>
          <w:kern w:val="0"/>
        </w:rPr>
        <w:t>组长：厅政策研究室负责人</w:t>
      </w:r>
    </w:p>
    <w:p>
      <w:pPr>
        <w:pStyle w:val="35"/>
        <w:ind w:firstLine="640"/>
        <w:rPr>
          <w:rFonts w:cs="宋体"/>
          <w:color w:val="000000"/>
          <w:kern w:val="0"/>
        </w:rPr>
      </w:pPr>
      <w:r>
        <w:rPr>
          <w:rFonts w:hint="eastAsia" w:cs="宋体"/>
          <w:color w:val="000000"/>
          <w:kern w:val="0"/>
        </w:rPr>
        <w:t>成员：厅办公室、</w:t>
      </w:r>
      <w:r>
        <w:rPr>
          <w:rFonts w:hint="eastAsia"/>
        </w:rPr>
        <w:t>厅法规处、厅建设管理处、厅运输管理处、厅安全监督处、厅执法监督局、省交通事业发展中心、省运输事业发展中心、省高速公路联网管理中心等厅指挥部成员单位</w:t>
      </w:r>
      <w:r>
        <w:rPr>
          <w:rFonts w:hint="eastAsia" w:cs="宋体"/>
          <w:color w:val="000000"/>
          <w:kern w:val="0"/>
        </w:rPr>
        <w:t>相关业务分管</w:t>
      </w:r>
      <w:r>
        <w:rPr>
          <w:rFonts w:hint="eastAsia"/>
        </w:rPr>
        <w:t>负责人。</w:t>
      </w:r>
    </w:p>
    <w:p>
      <w:pPr>
        <w:pStyle w:val="35"/>
        <w:ind w:firstLine="640"/>
      </w:pPr>
      <w:r>
        <w:rPr>
          <w:rFonts w:hint="eastAsia" w:cs="宋体"/>
          <w:color w:val="000000"/>
          <w:kern w:val="0"/>
        </w:rPr>
        <w:t>职责：负责组织协调突发事件应急处置工作的宣传报道、舆情收集工作；负责</w:t>
      </w:r>
      <w:r>
        <w:rPr>
          <w:rFonts w:hint="eastAsia"/>
        </w:rPr>
        <w:t>甄别舆情信息，研判舆情风险，提出应对措施</w:t>
      </w:r>
      <w:r>
        <w:rPr>
          <w:rFonts w:hint="eastAsia" w:cs="宋体"/>
          <w:color w:val="000000"/>
          <w:kern w:val="0"/>
        </w:rPr>
        <w:t>，及时回应社会关切</w:t>
      </w:r>
      <w:r>
        <w:rPr>
          <w:rFonts w:hint="eastAsia"/>
        </w:rPr>
        <w:t>；</w:t>
      </w:r>
      <w:r>
        <w:rPr>
          <w:rFonts w:hint="eastAsia" w:cs="宋体"/>
          <w:color w:val="000000"/>
          <w:kern w:val="0"/>
        </w:rPr>
        <w:t>在省政府应急指挥机构的指导下，履行新闻发言人职责，开展宣传报道和新闻发布工作；</w:t>
      </w:r>
      <w:r>
        <w:rPr>
          <w:rFonts w:hint="eastAsia"/>
        </w:rPr>
        <w:t>承办厅指挥部交办的其他事项。</w:t>
      </w:r>
    </w:p>
    <w:p>
      <w:pPr>
        <w:pStyle w:val="41"/>
        <w:ind w:firstLine="640"/>
      </w:pPr>
      <w:r>
        <w:rPr>
          <w:rFonts w:hint="eastAsia"/>
        </w:rPr>
        <w:t>通信保障组</w:t>
      </w:r>
    </w:p>
    <w:p>
      <w:pPr>
        <w:pStyle w:val="35"/>
        <w:ind w:firstLine="640"/>
      </w:pPr>
      <w:r>
        <w:rPr>
          <w:rFonts w:hint="eastAsia"/>
        </w:rPr>
        <w:t>组长：省交通通信中心负责人</w:t>
      </w:r>
    </w:p>
    <w:p>
      <w:pPr>
        <w:pStyle w:val="35"/>
        <w:ind w:firstLine="640"/>
        <w:rPr>
          <w:rFonts w:cs="宋体"/>
          <w:color w:val="000000"/>
          <w:kern w:val="0"/>
        </w:rPr>
      </w:pPr>
      <w:r>
        <w:rPr>
          <w:rFonts w:hint="eastAsia"/>
        </w:rPr>
        <w:t>成员：厅科技处、省高速公路联网管理中心、省交通通信中心、</w:t>
      </w:r>
      <w:r>
        <w:rPr>
          <w:rFonts w:hint="eastAsia" w:cs="宋体"/>
          <w:color w:val="000000"/>
          <w:kern w:val="0"/>
        </w:rPr>
        <w:t>河南国家区域性公路应急救援中心</w:t>
      </w:r>
      <w:bookmarkStart w:id="32" w:name="OLE_LINK3"/>
      <w:r>
        <w:rPr>
          <w:rFonts w:hint="eastAsia" w:cs="宋体"/>
          <w:color w:val="000000"/>
          <w:kern w:val="0"/>
        </w:rPr>
        <w:t>、高速公路联网监控收费通信服务有限公司等</w:t>
      </w:r>
      <w:bookmarkEnd w:id="32"/>
      <w:r>
        <w:rPr>
          <w:rFonts w:hint="eastAsia"/>
        </w:rPr>
        <w:t>相关业务分管负责人</w:t>
      </w:r>
      <w:r>
        <w:rPr>
          <w:rFonts w:hint="eastAsia" w:cs="宋体"/>
          <w:color w:val="000000"/>
          <w:kern w:val="0"/>
        </w:rPr>
        <w:t>。</w:t>
      </w:r>
    </w:p>
    <w:p>
      <w:pPr>
        <w:pStyle w:val="35"/>
        <w:ind w:firstLine="640"/>
      </w:pPr>
      <w:r>
        <w:rPr>
          <w:rFonts w:hint="eastAsia" w:cs="宋体"/>
          <w:color w:val="000000"/>
          <w:kern w:val="0"/>
        </w:rPr>
        <w:t>职责：</w:t>
      </w:r>
      <w:r>
        <w:rPr>
          <w:rFonts w:hint="eastAsia"/>
        </w:rPr>
        <w:t>负责应急处置过程中网络、视频、通信等保障工作；负责维护通信网络安全；承办厅指挥部交办的其他事项。</w:t>
      </w:r>
    </w:p>
    <w:p>
      <w:pPr>
        <w:pStyle w:val="41"/>
        <w:ind w:firstLine="640"/>
      </w:pPr>
      <w:r>
        <w:rPr>
          <w:rFonts w:hint="eastAsia"/>
        </w:rPr>
        <w:t>后勤保障组</w:t>
      </w:r>
    </w:p>
    <w:p>
      <w:pPr>
        <w:pStyle w:val="35"/>
        <w:ind w:firstLine="640"/>
      </w:pPr>
      <w:r>
        <w:rPr>
          <w:rFonts w:hint="eastAsia"/>
        </w:rPr>
        <w:t>组长：厅机关服务中心负责人</w:t>
      </w:r>
    </w:p>
    <w:p>
      <w:pPr>
        <w:pStyle w:val="35"/>
        <w:ind w:firstLine="640"/>
      </w:pPr>
      <w:r>
        <w:rPr>
          <w:rFonts w:hint="eastAsia"/>
        </w:rPr>
        <w:t>成员：厅办公室、厅财务审计处、厅人事教育处、省交通工会</w:t>
      </w:r>
      <w:r>
        <w:rPr>
          <w:rFonts w:hint="eastAsia" w:cs="宋体"/>
          <w:color w:val="000000"/>
          <w:kern w:val="0"/>
        </w:rPr>
        <w:t>等</w:t>
      </w:r>
      <w:r>
        <w:rPr>
          <w:rFonts w:hint="eastAsia"/>
        </w:rPr>
        <w:t>相关业务分管负责人。</w:t>
      </w:r>
    </w:p>
    <w:p>
      <w:pPr>
        <w:pStyle w:val="35"/>
        <w:ind w:firstLine="640"/>
      </w:pPr>
      <w:r>
        <w:rPr>
          <w:rFonts w:hint="eastAsia"/>
        </w:rPr>
        <w:t>职责：负责交通运输突发事件应急响应期间</w:t>
      </w:r>
      <w:r>
        <w:t>后勤服务保障工作</w:t>
      </w:r>
      <w:r>
        <w:rPr>
          <w:rFonts w:hint="eastAsia"/>
        </w:rPr>
        <w:t>；负责维护职工权益；承办厅指挥部交办的其他事项</w:t>
      </w:r>
      <w:r>
        <w:t>。</w:t>
      </w:r>
    </w:p>
    <w:p>
      <w:pPr>
        <w:pStyle w:val="38"/>
        <w:ind w:firstLine="640"/>
      </w:pPr>
      <w:bookmarkStart w:id="33" w:name="_Toc94283112"/>
      <w:r>
        <w:rPr>
          <w:rFonts w:hint="eastAsia"/>
        </w:rPr>
        <w:t>前方工作指导组</w:t>
      </w:r>
      <w:bookmarkEnd w:id="33"/>
    </w:p>
    <w:p>
      <w:pPr>
        <w:pStyle w:val="35"/>
        <w:ind w:firstLine="640"/>
      </w:pPr>
      <w:r>
        <w:rPr>
          <w:rFonts w:hint="eastAsia"/>
        </w:rPr>
        <w:t>根据突发事件的防范和应急处置工作需要，厅指挥部抽调相关人员，组成前方工作指导组，负责指导当地交通运输主管部门开展突发事件的防范和应急处置工作。</w:t>
      </w:r>
      <w:bookmarkStart w:id="34" w:name="_Hlk94184752"/>
      <w:r>
        <w:rPr>
          <w:rFonts w:hint="eastAsia"/>
        </w:rPr>
        <w:t>前方工作指导组组长、副组长</w:t>
      </w:r>
      <w:bookmarkStart w:id="35" w:name="_Hlk94184721"/>
      <w:r>
        <w:rPr>
          <w:rFonts w:hint="eastAsia"/>
        </w:rPr>
        <w:t>由指挥长或副指挥长指定</w:t>
      </w:r>
      <w:bookmarkEnd w:id="34"/>
      <w:bookmarkEnd w:id="35"/>
      <w:r>
        <w:rPr>
          <w:rFonts w:hint="eastAsia"/>
        </w:rPr>
        <w:t>。</w:t>
      </w:r>
    </w:p>
    <w:p>
      <w:pPr>
        <w:pStyle w:val="38"/>
        <w:ind w:firstLine="640"/>
      </w:pPr>
      <w:bookmarkStart w:id="36" w:name="_Toc94283113"/>
      <w:r>
        <w:t>专家组</w:t>
      </w:r>
      <w:bookmarkEnd w:id="36"/>
    </w:p>
    <w:p>
      <w:pPr>
        <w:pStyle w:val="35"/>
        <w:ind w:firstLine="640"/>
      </w:pPr>
      <w:r>
        <w:rPr>
          <w:rFonts w:hint="eastAsia"/>
        </w:rPr>
        <w:t>根据突发事件应急处置工作需要，厅指挥部从厅应急专家库中选取相关专家</w:t>
      </w:r>
      <w:r>
        <w:t>组成专家组</w:t>
      </w:r>
      <w:r>
        <w:rPr>
          <w:rFonts w:hint="eastAsia"/>
        </w:rPr>
        <w:t>，主要</w:t>
      </w:r>
      <w:r>
        <w:t>负责对</w:t>
      </w:r>
      <w:r>
        <w:rPr>
          <w:rFonts w:hint="eastAsia"/>
        </w:rPr>
        <w:t>应急处置、调查</w:t>
      </w:r>
      <w:r>
        <w:t>评估</w:t>
      </w:r>
      <w:r>
        <w:rPr>
          <w:rFonts w:hint="eastAsia"/>
        </w:rPr>
        <w:t>和灾后恢复重建等工作</w:t>
      </w:r>
      <w:r>
        <w:t>提出意见和建议。</w:t>
      </w:r>
    </w:p>
    <w:p>
      <w:pPr>
        <w:pStyle w:val="38"/>
        <w:ind w:firstLine="640"/>
      </w:pPr>
      <w:bookmarkStart w:id="37" w:name="_Toc94283114"/>
      <w:r>
        <w:rPr>
          <w:rFonts w:hint="eastAsia"/>
        </w:rPr>
        <w:t>市、县交通运输应急指挥机构</w:t>
      </w:r>
      <w:bookmarkEnd w:id="37"/>
    </w:p>
    <w:p>
      <w:pPr>
        <w:pStyle w:val="35"/>
        <w:ind w:firstLine="640"/>
      </w:pPr>
      <w:r>
        <w:rPr>
          <w:rFonts w:hint="eastAsia"/>
        </w:rPr>
        <w:t>市、县交通运输主管部门可参照省交通运输厅突发事件应急组织指挥机构组建模式，根据本地区实际情况成立应急组织指挥机构，负责本级行政区域内交通运输突发事件应急处置工作。</w:t>
      </w:r>
    </w:p>
    <w:p>
      <w:pPr>
        <w:pStyle w:val="36"/>
        <w:ind w:firstLine="640"/>
      </w:pPr>
      <w:bookmarkStart w:id="38" w:name="_Toc94283115"/>
      <w:r>
        <w:rPr>
          <w:rFonts w:hint="eastAsia"/>
        </w:rPr>
        <w:t>预防与预警</w:t>
      </w:r>
      <w:bookmarkEnd w:id="38"/>
    </w:p>
    <w:p>
      <w:pPr>
        <w:pStyle w:val="38"/>
        <w:ind w:firstLine="640"/>
      </w:pPr>
      <w:bookmarkStart w:id="39" w:name="_Toc94283116"/>
      <w:r>
        <w:t>预警信息</w:t>
      </w:r>
      <w:r>
        <w:rPr>
          <w:rFonts w:hint="eastAsia"/>
        </w:rPr>
        <w:t>接收</w:t>
      </w:r>
      <w:bookmarkEnd w:id="39"/>
    </w:p>
    <w:p>
      <w:pPr>
        <w:pStyle w:val="41"/>
        <w:ind w:firstLine="640"/>
      </w:pPr>
      <w:r>
        <w:rPr>
          <w:rFonts w:hint="eastAsia"/>
        </w:rPr>
        <w:t>预警信息分级</w:t>
      </w:r>
    </w:p>
    <w:p>
      <w:pPr>
        <w:pStyle w:val="35"/>
        <w:ind w:firstLine="640"/>
      </w:pPr>
      <w:r>
        <w:t>可以预警的自然灾害、事故灾难</w:t>
      </w:r>
      <w:r>
        <w:rPr>
          <w:rFonts w:hint="eastAsia"/>
        </w:rPr>
        <w:t>、</w:t>
      </w:r>
      <w:r>
        <w:t>公共卫生事件</w:t>
      </w:r>
      <w:r>
        <w:rPr>
          <w:rFonts w:hint="eastAsia"/>
        </w:rPr>
        <w:t>和社会安全事件</w:t>
      </w:r>
      <w:r>
        <w:t>的预警级别，按照突发事件发生的紧急程度、发展势态和</w:t>
      </w:r>
      <w:bookmarkStart w:id="40" w:name="_Hlk94281600"/>
      <w:r>
        <w:t>可能造成的</w:t>
      </w:r>
      <w:bookmarkEnd w:id="40"/>
      <w:r>
        <w:t>危害程度分为</w:t>
      </w:r>
      <w:bookmarkStart w:id="41" w:name="_Hlk94170203"/>
      <w:r>
        <w:rPr>
          <w:rFonts w:hint="eastAsia"/>
        </w:rPr>
        <w:t>Ⅰ级、Ⅱ级、Ⅲ级、Ⅳ级</w:t>
      </w:r>
      <w:bookmarkEnd w:id="41"/>
      <w:r>
        <w:t>，分别用红色、橙色、黄色和蓝色标示，</w:t>
      </w:r>
      <w:r>
        <w:rPr>
          <w:rFonts w:hint="eastAsia"/>
        </w:rPr>
        <w:t>Ⅰ级</w:t>
      </w:r>
      <w:r>
        <w:t>为最高级别。</w:t>
      </w:r>
      <w:bookmarkStart w:id="42" w:name="_Hlk91091520"/>
      <w:r>
        <w:rPr>
          <w:rFonts w:hint="eastAsia"/>
        </w:rPr>
        <w:t>分级标准参照负有预警职责部门的预警分级标准确定。</w:t>
      </w:r>
      <w:bookmarkEnd w:id="42"/>
    </w:p>
    <w:p>
      <w:pPr>
        <w:pStyle w:val="41"/>
        <w:ind w:firstLine="640"/>
      </w:pPr>
      <w:r>
        <w:rPr>
          <w:rFonts w:hint="eastAsia"/>
        </w:rPr>
        <w:t>预警信息种类</w:t>
      </w:r>
    </w:p>
    <w:p>
      <w:pPr>
        <w:pStyle w:val="44"/>
        <w:ind w:firstLine="640"/>
      </w:pPr>
      <w:r>
        <w:t>暴雨、</w:t>
      </w:r>
      <w:r>
        <w:rPr>
          <w:rFonts w:hint="eastAsia"/>
        </w:rPr>
        <w:t>寒潮、</w:t>
      </w:r>
      <w:r>
        <w:t>暴雪、大雾等气象灾害预警信息</w:t>
      </w:r>
      <w:r>
        <w:rPr>
          <w:rFonts w:hint="eastAsia"/>
        </w:rPr>
        <w:t>；</w:t>
      </w:r>
      <w:r>
        <w:t>江河水情、水库水情、山洪灾害等水文灾害预警信息</w:t>
      </w:r>
      <w:r>
        <w:rPr>
          <w:rFonts w:hint="eastAsia"/>
        </w:rPr>
        <w:t>；</w:t>
      </w:r>
      <w:r>
        <w:t>崩塌、滑坡、泥石流等地质灾害</w:t>
      </w:r>
      <w:r>
        <w:rPr>
          <w:rFonts w:hint="eastAsia"/>
        </w:rPr>
        <w:t>和</w:t>
      </w:r>
      <w:r>
        <w:t>地震预警信息</w:t>
      </w:r>
      <w:r>
        <w:rPr>
          <w:rFonts w:hint="eastAsia"/>
        </w:rPr>
        <w:t>。</w:t>
      </w:r>
    </w:p>
    <w:p>
      <w:pPr>
        <w:pStyle w:val="44"/>
        <w:ind w:firstLine="640"/>
      </w:pPr>
      <w:r>
        <w:rPr>
          <w:rFonts w:hint="eastAsia"/>
        </w:rPr>
        <w:t>水上交通事故、“两客一危”车辆道路运输事故、交通工程建设事故、轨道交通运营事故、城市公共汽（电）车事故、公路中断、桥梁隧道垮塌、港口瘫痪、客运枢纽旅客滞留等预警信息。</w:t>
      </w:r>
    </w:p>
    <w:p>
      <w:pPr>
        <w:pStyle w:val="44"/>
        <w:ind w:firstLine="640"/>
      </w:pPr>
      <w:r>
        <w:rPr>
          <w:rFonts w:hint="eastAsia"/>
        </w:rPr>
        <w:t>传染病疫情、群体性不明原因疾病、动物疫情、食品安全事故等公共卫生突发事件预警信息。</w:t>
      </w:r>
    </w:p>
    <w:p>
      <w:pPr>
        <w:pStyle w:val="44"/>
        <w:ind w:firstLine="640"/>
      </w:pPr>
      <w:r>
        <w:rPr>
          <w:rFonts w:hint="eastAsia"/>
        </w:rPr>
        <w:t>恐怖袭击、群体性事件、网络与信息安全事件等社会安全突发事件预警信息。</w:t>
      </w:r>
    </w:p>
    <w:p>
      <w:pPr>
        <w:pStyle w:val="41"/>
        <w:ind w:firstLine="640"/>
      </w:pPr>
      <w:r>
        <w:rPr>
          <w:rFonts w:hint="eastAsia"/>
        </w:rPr>
        <w:t>预警信息来源</w:t>
      </w:r>
    </w:p>
    <w:p>
      <w:pPr>
        <w:pStyle w:val="44"/>
        <w:numPr>
          <w:ilvl w:val="3"/>
          <w:numId w:val="5"/>
        </w:numPr>
        <w:ind w:firstLine="640"/>
      </w:pPr>
      <w:r>
        <w:rPr>
          <w:rFonts w:hint="eastAsia"/>
        </w:rPr>
        <w:t>省政府、交通运输部，以及气象、地震、自然资源、水利、公安等部门发布或转发的预警信息。</w:t>
      </w:r>
    </w:p>
    <w:p>
      <w:pPr>
        <w:pStyle w:val="44"/>
        <w:numPr>
          <w:ilvl w:val="3"/>
          <w:numId w:val="5"/>
        </w:numPr>
        <w:ind w:firstLine="640"/>
      </w:pPr>
      <w:r>
        <w:rPr>
          <w:rFonts w:hint="eastAsia"/>
        </w:rPr>
        <w:t>国家预警信息发布中心发布的自然灾害、事故灾难、公共卫生事件、社会安全事件四大类突发事件预警信息。</w:t>
      </w:r>
    </w:p>
    <w:p>
      <w:pPr>
        <w:pStyle w:val="44"/>
        <w:numPr>
          <w:ilvl w:val="3"/>
          <w:numId w:val="5"/>
        </w:numPr>
        <w:ind w:firstLine="640"/>
      </w:pPr>
      <w:r>
        <w:rPr>
          <w:rFonts w:hint="eastAsia"/>
        </w:rPr>
        <w:t>市、县交通运输主管部门、厅直属相关单位、交通运输企业报告的突发事件信息。</w:t>
      </w:r>
    </w:p>
    <w:p>
      <w:pPr>
        <w:pStyle w:val="44"/>
        <w:ind w:firstLine="640"/>
      </w:pPr>
      <w:r>
        <w:t>公众报告可能发生交通运输突发事件的信息。</w:t>
      </w:r>
    </w:p>
    <w:p>
      <w:pPr>
        <w:pStyle w:val="44"/>
        <w:ind w:firstLine="640"/>
      </w:pPr>
      <w:r>
        <w:t>其他需要交通运输主管部门提供应急保障的</w:t>
      </w:r>
      <w:r>
        <w:rPr>
          <w:rFonts w:hint="eastAsia"/>
        </w:rPr>
        <w:t>信息。</w:t>
      </w:r>
    </w:p>
    <w:p>
      <w:pPr>
        <w:pStyle w:val="38"/>
        <w:ind w:firstLine="640"/>
      </w:pPr>
      <w:bookmarkStart w:id="43" w:name="_Toc94283117"/>
      <w:r>
        <w:t>预警</w:t>
      </w:r>
      <w:r>
        <w:rPr>
          <w:rFonts w:hint="eastAsia"/>
        </w:rPr>
        <w:t>转发</w:t>
      </w:r>
      <w:bookmarkEnd w:id="43"/>
    </w:p>
    <w:p>
      <w:pPr>
        <w:pStyle w:val="35"/>
        <w:ind w:firstLine="640"/>
      </w:pPr>
      <w:r>
        <w:rPr>
          <w:rFonts w:hint="eastAsia"/>
        </w:rPr>
        <w:t>当接到突发事件预警信息后，由应急办对突发事件风险进行研判，并视情采取电话、短信、视频会议、明传电报等形式向可能受到影响地区的交通运输主管部门转发预警信息，部署防御措施，做到早预防、早报告、早处置。</w:t>
      </w:r>
    </w:p>
    <w:p>
      <w:pPr>
        <w:pStyle w:val="38"/>
        <w:ind w:firstLine="640"/>
      </w:pPr>
      <w:bookmarkStart w:id="44" w:name="_Toc94283118"/>
      <w:r>
        <w:rPr>
          <w:rFonts w:hint="eastAsia"/>
        </w:rPr>
        <w:t>预警响应</w:t>
      </w:r>
      <w:bookmarkEnd w:id="44"/>
    </w:p>
    <w:p>
      <w:pPr>
        <w:pStyle w:val="35"/>
        <w:ind w:firstLine="640"/>
      </w:pPr>
      <w:r>
        <w:rPr>
          <w:rFonts w:hint="eastAsia"/>
        </w:rPr>
        <w:t>预警响应是预防预警机制的重要内容，厅指挥部成员单位要严格按照“两个坚持、三个转变”原则，在相关部门发布预警信息后，应当立即采取果断有力行动，为可能发生的灾害做好充足准备。当达到灾害应急响应启动条件时，迅速从战备状态转向战时状态；当有关预警解除时，组织相关部门、人员平稳有序恢复。</w:t>
      </w:r>
    </w:p>
    <w:p>
      <w:pPr>
        <w:pStyle w:val="35"/>
        <w:ind w:firstLine="640"/>
      </w:pPr>
      <w:r>
        <w:rPr>
          <w:rFonts w:hint="eastAsia"/>
        </w:rPr>
        <w:t>厅指挥部根据省政府应急指挥机构指令，以及突发事件预警信息研判情况，研究部署预警响应措施。</w:t>
      </w:r>
      <w:bookmarkStart w:id="45" w:name="_Hlk94281783"/>
      <w:r>
        <w:rPr>
          <w:rFonts w:hint="eastAsia"/>
        </w:rPr>
        <w:t>在灾害发生前视情采取以下措施</w:t>
      </w:r>
      <w:bookmarkEnd w:id="45"/>
      <w:r>
        <w:rPr>
          <w:rFonts w:hint="eastAsia"/>
        </w:rPr>
        <w:t>：</w:t>
      </w:r>
    </w:p>
    <w:p>
      <w:pPr>
        <w:pStyle w:val="44"/>
        <w:ind w:firstLine="640"/>
      </w:pPr>
      <w:r>
        <w:rPr>
          <w:rFonts w:hint="eastAsia"/>
        </w:rPr>
        <w:t>应急办</w:t>
      </w:r>
      <w:r>
        <w:t>组织召开</w:t>
      </w:r>
      <w:r>
        <w:rPr>
          <w:rFonts w:hint="eastAsia"/>
        </w:rPr>
        <w:t>厅指挥部成员</w:t>
      </w:r>
      <w:r>
        <w:t>会议，汇总分析预警信息</w:t>
      </w:r>
      <w:r>
        <w:rPr>
          <w:rFonts w:hint="eastAsia"/>
        </w:rPr>
        <w:t>，</w:t>
      </w:r>
      <w:r>
        <w:t>评估</w:t>
      </w:r>
      <w:r>
        <w:rPr>
          <w:rFonts w:hint="eastAsia"/>
        </w:rPr>
        <w:t>交通运输行业可能受突发事件影响的范围、程度</w:t>
      </w:r>
      <w:r>
        <w:t>，研究部署应对</w:t>
      </w:r>
      <w:r>
        <w:rPr>
          <w:rFonts w:hint="eastAsia"/>
        </w:rPr>
        <w:t>防范性</w:t>
      </w:r>
      <w:r>
        <w:t>措施</w:t>
      </w:r>
      <w:r>
        <w:rPr>
          <w:rFonts w:hint="eastAsia"/>
        </w:rPr>
        <w:t>。</w:t>
      </w:r>
    </w:p>
    <w:p>
      <w:pPr>
        <w:pStyle w:val="44"/>
        <w:ind w:firstLine="640"/>
      </w:pPr>
      <w:r>
        <w:rPr>
          <w:rFonts w:hint="eastAsia"/>
        </w:rPr>
        <w:t>当研判突发事件发生可能性较大时，应急办组织相关厅指挥部成员单位和市、县交通运输主管部门负责人召开视频会商会议，安排部署灾害防御措施。</w:t>
      </w:r>
    </w:p>
    <w:p>
      <w:pPr>
        <w:pStyle w:val="44"/>
        <w:ind w:firstLine="640"/>
      </w:pPr>
      <w:r>
        <w:rPr>
          <w:rFonts w:hint="eastAsia"/>
        </w:rPr>
        <w:t>厅直属相关单位</w:t>
      </w:r>
      <w:r>
        <w:t>指导</w:t>
      </w:r>
      <w:r>
        <w:rPr>
          <w:rFonts w:hint="eastAsia"/>
        </w:rPr>
        <w:t>受影响地区相关单位开展突发事件</w:t>
      </w:r>
      <w:r>
        <w:t>防范工作，进一步明确责任，加强对重点目标的监控，扎实开展好隐患排查治理工作，及时消除可能引发突发事件的</w:t>
      </w:r>
      <w:r>
        <w:rPr>
          <w:rFonts w:hint="eastAsia"/>
        </w:rPr>
        <w:t>隐患。</w:t>
      </w:r>
    </w:p>
    <w:p>
      <w:pPr>
        <w:pStyle w:val="44"/>
        <w:ind w:firstLine="640"/>
      </w:pPr>
      <w:r>
        <w:rPr>
          <w:rFonts w:hint="eastAsia"/>
        </w:rPr>
        <w:t>厅直属相关单位</w:t>
      </w:r>
      <w:r>
        <w:t>加强信息沟通，严格落实</w:t>
      </w:r>
      <w:r>
        <w:rPr>
          <w:rFonts w:hint="eastAsia"/>
        </w:rPr>
        <w:t>领导带班和2</w:t>
      </w:r>
      <w:r>
        <w:t>4</w:t>
      </w:r>
      <w:r>
        <w:rPr>
          <w:rFonts w:hint="eastAsia"/>
        </w:rPr>
        <w:t>小时值班制度，</w:t>
      </w:r>
      <w:r>
        <w:t>认真履行职责</w:t>
      </w:r>
      <w:r>
        <w:rPr>
          <w:rFonts w:hint="eastAsia"/>
        </w:rPr>
        <w:t>。</w:t>
      </w:r>
    </w:p>
    <w:p>
      <w:pPr>
        <w:pStyle w:val="44"/>
        <w:ind w:firstLine="640"/>
      </w:pPr>
      <w:r>
        <w:rPr>
          <w:rFonts w:hint="eastAsia"/>
        </w:rPr>
        <w:t>厅指挥部指派相关人员组成前方工作指导组，赴相关地区或单位指导各项灾害防御措施的落实，发现薄弱环节，明确责任限时整改。</w:t>
      </w:r>
    </w:p>
    <w:p>
      <w:pPr>
        <w:pStyle w:val="44"/>
        <w:ind w:firstLine="640"/>
      </w:pPr>
      <w:r>
        <w:rPr>
          <w:rFonts w:hint="eastAsia"/>
        </w:rPr>
        <w:t>交通运输应急队伍和负有应急职责的人员进入待命状态；相关单位加大安全检查频次，视情自主采取“停、关、撤”等措施，全面做好灾害的防范应对；相关单位根据需要将应急队伍、物资前置到灾害高风险地区或防灾关键部位；在相关市、县交通运输主管部门或厅直属相关单位向应急办提出支援请求时，由应急办统筹协调相关工作。</w:t>
      </w:r>
    </w:p>
    <w:p>
      <w:pPr>
        <w:pStyle w:val="44"/>
        <w:ind w:firstLine="640"/>
      </w:pPr>
      <w:bookmarkStart w:id="46" w:name="_Hlk94281805"/>
      <w:r>
        <w:rPr>
          <w:rFonts w:hint="eastAsia"/>
        </w:rPr>
        <w:t>其他必要的突发事件防范措施。</w:t>
      </w:r>
      <w:bookmarkEnd w:id="46"/>
    </w:p>
    <w:p>
      <w:pPr>
        <w:pStyle w:val="36"/>
        <w:ind w:firstLine="640"/>
      </w:pPr>
      <w:bookmarkStart w:id="47" w:name="_Toc94283119"/>
      <w:r>
        <w:rPr>
          <w:rFonts w:hint="eastAsia"/>
        </w:rPr>
        <w:t>信息报告</w:t>
      </w:r>
      <w:bookmarkEnd w:id="47"/>
    </w:p>
    <w:p>
      <w:pPr>
        <w:pStyle w:val="38"/>
        <w:ind w:firstLine="640"/>
      </w:pPr>
      <w:bookmarkStart w:id="48" w:name="_Toc94283120"/>
      <w:r>
        <w:rPr>
          <w:rFonts w:hint="eastAsia"/>
        </w:rPr>
        <w:t>报告程序</w:t>
      </w:r>
      <w:bookmarkEnd w:id="48"/>
    </w:p>
    <w:p>
      <w:pPr>
        <w:pStyle w:val="35"/>
        <w:ind w:firstLine="640"/>
      </w:pPr>
      <w:r>
        <w:rPr>
          <w:rFonts w:hint="eastAsia"/>
        </w:rPr>
        <w:t>各级交通运输主管部门、厅直属相关单位接到突发事件报告，或通过媒体、网络舆论等途径了解到突发事件信息后，应第一时间核实、研判信息，并向厅行政值班室报告。对于已造成或可能造成特别重大、重大突发事件的，必须</w:t>
      </w:r>
      <w:r>
        <w:t>20分钟内电话报告、40分钟内书面报告；其他等级突发事件，必须1小时内书面报告。厅行政值班室按照相关报告程序，分别向厅领导、省委、省政府值班室和交通运输部应急办报告。书面报告</w:t>
      </w:r>
      <w:r>
        <w:rPr>
          <w:rFonts w:hint="eastAsia"/>
        </w:rPr>
        <w:t>均须有报送</w:t>
      </w:r>
      <w:r>
        <w:t>单位负责人或值班领导签字，信息报出后必须进行电话确认。</w:t>
      </w:r>
    </w:p>
    <w:p>
      <w:pPr>
        <w:widowControl/>
        <w:spacing w:line="450" w:lineRule="atLeast"/>
        <w:ind w:firstLine="640"/>
        <w:rPr>
          <w:rFonts w:ascii="仿宋" w:hAnsi="仿宋" w:eastAsia="仿宋" w:cs="宋体"/>
          <w:color w:val="000000"/>
          <w:kern w:val="0"/>
          <w:sz w:val="32"/>
          <w:szCs w:val="32"/>
        </w:rPr>
      </w:pPr>
      <w:r>
        <w:rPr>
          <w:rFonts w:hint="eastAsia" w:ascii="仿宋" w:hAnsi="仿宋" w:eastAsia="仿宋" w:cs="宋体"/>
          <w:color w:val="000000"/>
          <w:kern w:val="0"/>
          <w:sz w:val="32"/>
          <w:szCs w:val="32"/>
        </w:rPr>
        <w:t>厅行政值班室</w:t>
      </w:r>
      <w:r>
        <w:rPr>
          <w:rFonts w:ascii="Times New Roman" w:hAnsi="Times New Roman" w:eastAsia="微软雅黑" w:cs="Times New Roman"/>
          <w:color w:val="000000"/>
          <w:kern w:val="0"/>
          <w:sz w:val="32"/>
          <w:szCs w:val="32"/>
        </w:rPr>
        <w:t>24</w:t>
      </w:r>
      <w:r>
        <w:rPr>
          <w:rFonts w:hint="eastAsia" w:ascii="仿宋" w:hAnsi="仿宋" w:eastAsia="仿宋" w:cs="宋体"/>
          <w:color w:val="000000"/>
          <w:kern w:val="0"/>
          <w:sz w:val="32"/>
          <w:szCs w:val="32"/>
        </w:rPr>
        <w:t>小时值班电话：</w:t>
      </w:r>
      <w:r>
        <w:rPr>
          <w:rFonts w:ascii="Times New Roman" w:hAnsi="Times New Roman" w:eastAsia="微软雅黑" w:cs="Times New Roman"/>
          <w:color w:val="000000"/>
          <w:kern w:val="0"/>
          <w:sz w:val="32"/>
          <w:szCs w:val="32"/>
        </w:rPr>
        <w:t>0371</w:t>
      </w:r>
      <w:r>
        <w:rPr>
          <w:rFonts w:hint="eastAsia" w:ascii="仿宋" w:hAnsi="仿宋" w:eastAsia="仿宋" w:cs="宋体"/>
          <w:color w:val="000000"/>
          <w:kern w:val="0"/>
          <w:sz w:val="32"/>
          <w:szCs w:val="32"/>
        </w:rPr>
        <w:t>-</w:t>
      </w:r>
      <w:r>
        <w:rPr>
          <w:rFonts w:ascii="Times New Roman" w:hAnsi="Times New Roman" w:eastAsia="微软雅黑" w:cs="Times New Roman"/>
          <w:color w:val="000000"/>
          <w:kern w:val="0"/>
          <w:sz w:val="32"/>
          <w:szCs w:val="32"/>
        </w:rPr>
        <w:t>87166058</w:t>
      </w:r>
    </w:p>
    <w:p>
      <w:pPr>
        <w:widowControl/>
        <w:spacing w:line="450" w:lineRule="atLeast"/>
        <w:ind w:firstLine="640"/>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 xml:space="preserve">                      </w:t>
      </w:r>
      <w:r>
        <w:rPr>
          <w:rFonts w:hint="eastAsia" w:ascii="仿宋" w:hAnsi="仿宋" w:eastAsia="仿宋" w:cs="宋体"/>
          <w:color w:val="000000"/>
          <w:kern w:val="0"/>
          <w:sz w:val="32"/>
          <w:szCs w:val="32"/>
        </w:rPr>
        <w:t>传真：</w:t>
      </w:r>
      <w:r>
        <w:rPr>
          <w:rFonts w:ascii="Times New Roman" w:hAnsi="Times New Roman" w:eastAsia="微软雅黑" w:cs="Times New Roman"/>
          <w:color w:val="000000"/>
          <w:kern w:val="0"/>
          <w:sz w:val="32"/>
          <w:szCs w:val="32"/>
        </w:rPr>
        <w:t>0371</w:t>
      </w:r>
      <w:r>
        <w:rPr>
          <w:rFonts w:hint="eastAsia" w:ascii="仿宋" w:hAnsi="仿宋" w:eastAsia="仿宋" w:cs="宋体"/>
          <w:color w:val="000000"/>
          <w:kern w:val="0"/>
          <w:sz w:val="32"/>
          <w:szCs w:val="32"/>
        </w:rPr>
        <w:t>-</w:t>
      </w:r>
      <w:r>
        <w:rPr>
          <w:rFonts w:ascii="Times New Roman" w:hAnsi="Times New Roman" w:eastAsia="微软雅黑" w:cs="Times New Roman"/>
          <w:color w:val="000000"/>
          <w:kern w:val="0"/>
          <w:sz w:val="32"/>
          <w:szCs w:val="32"/>
        </w:rPr>
        <w:t>87166057</w:t>
      </w:r>
    </w:p>
    <w:p>
      <w:pPr>
        <w:pStyle w:val="38"/>
        <w:ind w:firstLine="640"/>
      </w:pPr>
      <w:bookmarkStart w:id="49" w:name="_Toc94283121"/>
      <w:r>
        <w:rPr>
          <w:rFonts w:hint="eastAsia"/>
        </w:rPr>
        <w:t>报告内容</w:t>
      </w:r>
      <w:bookmarkEnd w:id="49"/>
    </w:p>
    <w:p>
      <w:pPr>
        <w:pStyle w:val="35"/>
        <w:ind w:firstLine="640"/>
      </w:pPr>
      <w:r>
        <w:rPr>
          <w:rFonts w:hint="eastAsia" w:ascii="Times New Roman" w:hAnsi="Times New Roman" w:cs="Times New Roman"/>
        </w:rPr>
        <w:t>信息报告坚持“首报要快、续报要准、终报要全”的原则，</w:t>
      </w:r>
      <w:r>
        <w:rPr>
          <w:rFonts w:hint="eastAsia"/>
        </w:rPr>
        <w:t>应包括以下要素：</w:t>
      </w:r>
    </w:p>
    <w:p>
      <w:pPr>
        <w:pStyle w:val="44"/>
        <w:ind w:firstLine="640"/>
      </w:pPr>
      <w:r>
        <w:t>事件发生的时间、地点及信息来源。</w:t>
      </w:r>
    </w:p>
    <w:p>
      <w:pPr>
        <w:pStyle w:val="44"/>
        <w:ind w:firstLine="640"/>
      </w:pPr>
      <w:r>
        <w:t>事件起因、基本过程、已造成的后果以及影响</w:t>
      </w:r>
      <w:r>
        <w:rPr>
          <w:rFonts w:hint="eastAsia"/>
        </w:rPr>
        <w:t>范围和事件发展趋势。</w:t>
      </w:r>
    </w:p>
    <w:p>
      <w:pPr>
        <w:pStyle w:val="44"/>
        <w:ind w:firstLine="640"/>
      </w:pPr>
      <w:r>
        <w:rPr>
          <w:rFonts w:hint="eastAsia"/>
        </w:rPr>
        <w:t>人员伤亡和失联情况、经济损失情况、交通基础设施损毁情况。</w:t>
      </w:r>
    </w:p>
    <w:p>
      <w:pPr>
        <w:pStyle w:val="44"/>
        <w:ind w:firstLine="640"/>
      </w:pPr>
      <w:r>
        <w:rPr>
          <w:rFonts w:hint="eastAsia"/>
        </w:rPr>
        <w:t>现场救援情况、</w:t>
      </w:r>
      <w:r>
        <w:t>已采取的措施、下一步的工作计划。</w:t>
      </w:r>
    </w:p>
    <w:p>
      <w:pPr>
        <w:pStyle w:val="44"/>
        <w:ind w:firstLine="640"/>
      </w:pPr>
      <w:r>
        <w:t>信息报送单位、</w:t>
      </w:r>
      <w:r>
        <w:rPr>
          <w:rFonts w:hint="eastAsia"/>
        </w:rPr>
        <w:t>单位负责人、</w:t>
      </w:r>
      <w:r>
        <w:t>联系人和联系电话等。</w:t>
      </w:r>
    </w:p>
    <w:p>
      <w:pPr>
        <w:pStyle w:val="44"/>
        <w:ind w:firstLine="640"/>
      </w:pPr>
      <w:r>
        <w:t>其他应当报告的情况。</w:t>
      </w:r>
    </w:p>
    <w:p>
      <w:pPr>
        <w:pStyle w:val="36"/>
        <w:ind w:firstLine="640"/>
      </w:pPr>
      <w:bookmarkStart w:id="50" w:name="_Toc94283122"/>
      <w:r>
        <w:t>应急响应</w:t>
      </w:r>
      <w:bookmarkEnd w:id="50"/>
    </w:p>
    <w:p>
      <w:pPr>
        <w:pStyle w:val="38"/>
        <w:ind w:firstLine="640"/>
      </w:pPr>
      <w:bookmarkStart w:id="51" w:name="_Toc94283123"/>
      <w:r>
        <w:rPr>
          <w:rFonts w:hint="eastAsia"/>
        </w:rPr>
        <w:t>先期处置</w:t>
      </w:r>
      <w:bookmarkEnd w:id="51"/>
    </w:p>
    <w:p>
      <w:pPr>
        <w:pStyle w:val="35"/>
        <w:spacing w:line="560" w:lineRule="exact"/>
        <w:ind w:firstLine="640"/>
      </w:pPr>
      <w:r>
        <w:rPr>
          <w:rFonts w:hint="eastAsia"/>
        </w:rPr>
        <w:t>事发地交通运输主管部门或厅直属相关单位接报灾情后，应根据灾情实际启动应急响应，组织相关部门和人员到事发现场指挥抢险救灾，采取必要的处置措施，保护人民群众生命财产安全，保障交通运输有效运行，有序开展抢险救灾。</w:t>
      </w:r>
    </w:p>
    <w:p>
      <w:pPr>
        <w:pStyle w:val="38"/>
        <w:ind w:firstLine="640"/>
      </w:pPr>
      <w:bookmarkStart w:id="52" w:name="_Toc94283124"/>
      <w:r>
        <w:t>响应</w:t>
      </w:r>
      <w:r>
        <w:rPr>
          <w:rFonts w:hint="eastAsia"/>
        </w:rPr>
        <w:t>分级</w:t>
      </w:r>
      <w:bookmarkEnd w:id="52"/>
    </w:p>
    <w:p>
      <w:pPr>
        <w:pStyle w:val="35"/>
        <w:ind w:firstLine="640"/>
      </w:pPr>
      <w:r>
        <w:rPr>
          <w:rFonts w:hint="eastAsia"/>
        </w:rPr>
        <w:t>省交通运输厅突发事件应急响应级别，按突发事件的严重程度和影响范围，由高到低分为四级：Ⅰ级、Ⅱ级、Ⅲ级、Ⅳ级。</w:t>
      </w:r>
    </w:p>
    <w:p>
      <w:pPr>
        <w:pStyle w:val="38"/>
        <w:ind w:firstLine="640"/>
      </w:pPr>
      <w:bookmarkStart w:id="53" w:name="_Toc94283125"/>
      <w:r>
        <w:rPr>
          <w:rFonts w:hint="eastAsia"/>
        </w:rPr>
        <w:t>响应启动程序</w:t>
      </w:r>
      <w:bookmarkEnd w:id="53"/>
    </w:p>
    <w:p>
      <w:pPr>
        <w:pStyle w:val="35"/>
        <w:ind w:firstLine="640"/>
      </w:pPr>
      <w:bookmarkStart w:id="54" w:name="_Hlk92231461"/>
      <w:r>
        <w:rPr>
          <w:rFonts w:hint="eastAsia"/>
        </w:rPr>
        <w:t>应急响应启动一般按照从低到高的顺序进行，</w:t>
      </w:r>
      <w:bookmarkStart w:id="55" w:name="_Hlk94170101"/>
      <w:r>
        <w:rPr>
          <w:rFonts w:hint="eastAsia"/>
        </w:rPr>
        <w:t>由应急办提出应急响应启动建议，经厅指挥部研判后，由指挥长签发启动Ⅰ、Ⅱ级响应，由副指挥长签发启动Ⅲ、Ⅳ级响应。</w:t>
      </w:r>
      <w:bookmarkEnd w:id="54"/>
      <w:bookmarkEnd w:id="55"/>
    </w:p>
    <w:p>
      <w:pPr>
        <w:pStyle w:val="38"/>
        <w:ind w:firstLine="640"/>
      </w:pPr>
      <w:bookmarkStart w:id="56" w:name="_Toc94283126"/>
      <w:r>
        <w:t>Ⅰ级</w:t>
      </w:r>
      <w:r>
        <w:rPr>
          <w:rFonts w:hint="eastAsia"/>
        </w:rPr>
        <w:t>、Ⅱ级</w:t>
      </w:r>
      <w:r>
        <w:t>响应</w:t>
      </w:r>
      <w:bookmarkEnd w:id="56"/>
    </w:p>
    <w:p>
      <w:pPr>
        <w:pStyle w:val="41"/>
        <w:ind w:firstLine="640"/>
      </w:pPr>
      <w:r>
        <w:rPr>
          <w:rFonts w:hint="eastAsia"/>
        </w:rPr>
        <w:t>启动条件</w:t>
      </w:r>
    </w:p>
    <w:p>
      <w:pPr>
        <w:pStyle w:val="35"/>
        <w:ind w:firstLine="640"/>
      </w:pPr>
      <w:r>
        <w:rPr>
          <w:rFonts w:hint="eastAsia"/>
        </w:rPr>
        <w:t>当发生特别重大、重大突发事件，或省政府、交通运输部启动相关Ⅰ级、Ⅱ级响应，或相关市、县交通运输主管部门、厅直属相关单位请求时，按照响应启动程序，启动Ⅰ级、Ⅱ级响应。</w:t>
      </w:r>
    </w:p>
    <w:p>
      <w:pPr>
        <w:pStyle w:val="41"/>
        <w:ind w:firstLine="640"/>
      </w:pPr>
      <w:r>
        <w:rPr>
          <w:rFonts w:hint="eastAsia"/>
        </w:rPr>
        <w:t>响应行动</w:t>
      </w:r>
    </w:p>
    <w:p>
      <w:pPr>
        <w:pStyle w:val="44"/>
        <w:ind w:firstLine="640"/>
      </w:pPr>
      <w:bookmarkStart w:id="57" w:name="_Hlk92877357"/>
      <w:r>
        <w:t>厅指挥部发布交通运输行业</w:t>
      </w:r>
      <w:r>
        <w:rPr>
          <w:rFonts w:hint="eastAsia"/>
        </w:rPr>
        <w:t>启动Ⅰ级、Ⅱ级</w:t>
      </w:r>
      <w:r>
        <w:t>响应的通知。</w:t>
      </w:r>
      <w:bookmarkEnd w:id="57"/>
    </w:p>
    <w:p>
      <w:pPr>
        <w:pStyle w:val="44"/>
        <w:ind w:firstLine="640"/>
      </w:pPr>
      <w:r>
        <w:rPr>
          <w:rFonts w:hint="eastAsia"/>
        </w:rPr>
        <w:t>厅指挥部</w:t>
      </w:r>
      <w:r>
        <w:t>成立应急工作组，</w:t>
      </w:r>
      <w:r>
        <w:rPr>
          <w:rFonts w:hint="eastAsia"/>
        </w:rPr>
        <w:t>并</w:t>
      </w:r>
      <w:r>
        <w:t>集中办公。</w:t>
      </w:r>
    </w:p>
    <w:p>
      <w:pPr>
        <w:pStyle w:val="44"/>
        <w:ind w:firstLine="640"/>
      </w:pPr>
      <w:r>
        <w:rPr>
          <w:rFonts w:hint="eastAsia"/>
        </w:rPr>
        <w:t>指挥长召集厅指挥部成员单位和相关专家进行会商，并召开紧急专题会议，制定应急处置方案；连线相关</w:t>
      </w:r>
      <w:r>
        <w:t>市</w:t>
      </w:r>
      <w:r>
        <w:rPr>
          <w:rFonts w:hint="eastAsia"/>
        </w:rPr>
        <w:t>、</w:t>
      </w:r>
      <w:r>
        <w:t>县交通运输主管部门</w:t>
      </w:r>
      <w:r>
        <w:rPr>
          <w:rFonts w:hint="eastAsia"/>
        </w:rPr>
        <w:t>，</w:t>
      </w:r>
      <w:bookmarkStart w:id="58" w:name="_Hlk92877789"/>
      <w:r>
        <w:rPr>
          <w:rFonts w:hint="eastAsia"/>
        </w:rPr>
        <w:t>全面掌握事态发生、发展全过程及相关情况，及时有效地控制事态发展，防止事态蔓延。</w:t>
      </w:r>
      <w:bookmarkEnd w:id="58"/>
    </w:p>
    <w:p>
      <w:pPr>
        <w:pStyle w:val="44"/>
        <w:ind w:firstLine="640"/>
      </w:pPr>
      <w:r>
        <w:rPr>
          <w:rFonts w:hint="eastAsia"/>
        </w:rPr>
        <w:t>厅指挥部</w:t>
      </w:r>
      <w:r>
        <w:t>派出</w:t>
      </w:r>
      <w:bookmarkStart w:id="59" w:name="_Hlk92290305"/>
      <w:r>
        <w:rPr>
          <w:rFonts w:hint="eastAsia"/>
        </w:rPr>
        <w:t>前方</w:t>
      </w:r>
      <w:r>
        <w:t>工作</w:t>
      </w:r>
      <w:r>
        <w:rPr>
          <w:rFonts w:hint="eastAsia"/>
        </w:rPr>
        <w:t>指导</w:t>
      </w:r>
      <w:r>
        <w:t>组</w:t>
      </w:r>
      <w:bookmarkEnd w:id="59"/>
      <w:r>
        <w:t>、专家组指导</w:t>
      </w:r>
      <w:r>
        <w:rPr>
          <w:rFonts w:hint="eastAsia"/>
        </w:rPr>
        <w:t>现场应急处置</w:t>
      </w:r>
      <w:r>
        <w:t>工作。</w:t>
      </w:r>
    </w:p>
    <w:p>
      <w:pPr>
        <w:pStyle w:val="44"/>
        <w:ind w:firstLine="640"/>
      </w:pPr>
      <w:r>
        <w:rPr>
          <w:rFonts w:hint="eastAsia"/>
        </w:rPr>
        <w:t>集结</w:t>
      </w:r>
      <w:r>
        <w:t>交通运输行业应急救援</w:t>
      </w:r>
      <w:r>
        <w:rPr>
          <w:rFonts w:hint="eastAsia"/>
        </w:rPr>
        <w:t>力量</w:t>
      </w:r>
      <w:r>
        <w:t>，</w:t>
      </w:r>
      <w:r>
        <w:rPr>
          <w:rFonts w:hint="eastAsia"/>
        </w:rPr>
        <w:t>根据事发地请求和抢险救灾需求，安排救援队伍、装备、物资、专家等赶赴现场抢险救灾；必要时，向省政府、交通运输部请求支援。</w:t>
      </w:r>
    </w:p>
    <w:p>
      <w:pPr>
        <w:pStyle w:val="44"/>
        <w:ind w:firstLine="640"/>
      </w:pPr>
      <w:r>
        <w:t>在省政</w:t>
      </w:r>
      <w:r>
        <w:rPr>
          <w:rFonts w:hint="eastAsia"/>
        </w:rPr>
        <w:t>府或交通运输部介入指挥时，厅指挥部按照上级应急指挥机构指令开展应急处置工作。</w:t>
      </w:r>
    </w:p>
    <w:p>
      <w:pPr>
        <w:pStyle w:val="44"/>
        <w:ind w:firstLine="640"/>
      </w:pPr>
      <w:r>
        <w:t>应急办</w:t>
      </w:r>
      <w:r>
        <w:rPr>
          <w:rFonts w:hint="eastAsia"/>
        </w:rPr>
        <w:t>根据突发事件特点</w:t>
      </w:r>
      <w:r>
        <w:t>及时收集、分析各类预警预报信息。</w:t>
      </w:r>
    </w:p>
    <w:p>
      <w:pPr>
        <w:pStyle w:val="44"/>
        <w:ind w:firstLine="640"/>
      </w:pPr>
      <w:r>
        <w:rPr>
          <w:rFonts w:hint="eastAsia"/>
        </w:rPr>
        <w:t>厅指挥部成员单位、</w:t>
      </w:r>
      <w:r>
        <w:t>受突发事件影响地区交通运输主管部门每日7时、17时向厅指挥部报告</w:t>
      </w:r>
      <w:r>
        <w:rPr>
          <w:rFonts w:hint="eastAsia"/>
        </w:rPr>
        <w:t>应急工作信息</w:t>
      </w:r>
      <w:r>
        <w:t>，突发灾情、险情</w:t>
      </w:r>
      <w:bookmarkStart w:id="60" w:name="_Hlk92878112"/>
      <w:r>
        <w:t>、交通阻断信息</w:t>
      </w:r>
      <w:bookmarkEnd w:id="60"/>
      <w:r>
        <w:t>随时报告</w:t>
      </w:r>
      <w:r>
        <w:rPr>
          <w:rFonts w:hint="eastAsia"/>
        </w:rPr>
        <w:t>；突发情况随时报告。</w:t>
      </w:r>
    </w:p>
    <w:p>
      <w:pPr>
        <w:pStyle w:val="44"/>
        <w:ind w:firstLine="640"/>
      </w:pPr>
      <w:r>
        <w:rPr>
          <w:rFonts w:hint="eastAsia"/>
        </w:rPr>
        <w:t>应急办</w:t>
      </w:r>
      <w:r>
        <w:t>每日18时</w:t>
      </w:r>
      <w:r>
        <w:rPr>
          <w:rFonts w:hint="eastAsia"/>
        </w:rPr>
        <w:t>向</w:t>
      </w:r>
      <w:r>
        <w:t>省</w:t>
      </w:r>
      <w:r>
        <w:rPr>
          <w:rFonts w:hint="eastAsia"/>
        </w:rPr>
        <w:t>政府和</w:t>
      </w:r>
      <w:r>
        <w:t>交通运输部</w:t>
      </w:r>
      <w:r>
        <w:rPr>
          <w:rFonts w:hint="eastAsia"/>
        </w:rPr>
        <w:t>报告应急</w:t>
      </w:r>
      <w:r>
        <w:t>工作信息</w:t>
      </w:r>
      <w:r>
        <w:rPr>
          <w:rFonts w:hint="eastAsia"/>
        </w:rPr>
        <w:t>；突发情况随时报告。</w:t>
      </w:r>
    </w:p>
    <w:p>
      <w:pPr>
        <w:pStyle w:val="44"/>
        <w:ind w:firstLine="640"/>
      </w:pPr>
      <w:r>
        <w:rPr>
          <w:rFonts w:hint="eastAsia"/>
        </w:rPr>
        <w:t>其他必要的应急处置措施。</w:t>
      </w:r>
    </w:p>
    <w:p>
      <w:pPr>
        <w:pStyle w:val="38"/>
        <w:ind w:firstLine="640"/>
      </w:pPr>
      <w:bookmarkStart w:id="61" w:name="_Toc94283127"/>
      <w:r>
        <w:t>Ⅲ级</w:t>
      </w:r>
      <w:r>
        <w:rPr>
          <w:rFonts w:hint="eastAsia"/>
        </w:rPr>
        <w:t>、Ⅳ</w:t>
      </w:r>
      <w:r>
        <w:t>级响应</w:t>
      </w:r>
      <w:bookmarkEnd w:id="61"/>
    </w:p>
    <w:p>
      <w:pPr>
        <w:pStyle w:val="41"/>
        <w:ind w:firstLine="640"/>
      </w:pPr>
      <w:r>
        <w:rPr>
          <w:rFonts w:hint="eastAsia"/>
        </w:rPr>
        <w:t>启动条件</w:t>
      </w:r>
    </w:p>
    <w:p>
      <w:pPr>
        <w:pStyle w:val="35"/>
        <w:ind w:firstLine="640"/>
      </w:pPr>
      <w:r>
        <w:rPr>
          <w:rFonts w:hint="eastAsia"/>
        </w:rPr>
        <w:t>当发生较大、一般突发事件，或省政府、交通运输部启动相关Ⅲ级、Ⅳ级响应，或相关市、县交通运输主管部门、厅直属相关单位请求时，按照响应启动程序，启动Ⅲ级、Ⅳ级响应。</w:t>
      </w:r>
    </w:p>
    <w:p>
      <w:pPr>
        <w:pStyle w:val="41"/>
        <w:ind w:firstLine="640"/>
      </w:pPr>
      <w:r>
        <w:rPr>
          <w:rFonts w:hint="eastAsia"/>
        </w:rPr>
        <w:t>响应行动</w:t>
      </w:r>
    </w:p>
    <w:p>
      <w:pPr>
        <w:pStyle w:val="44"/>
        <w:ind w:firstLine="640"/>
      </w:pPr>
      <w:r>
        <w:t>厅指挥部发布交通运输行业</w:t>
      </w:r>
      <w:r>
        <w:rPr>
          <w:rFonts w:hint="eastAsia"/>
        </w:rPr>
        <w:t>启动Ⅲ级、Ⅳ级</w:t>
      </w:r>
      <w:r>
        <w:t>响应的通知。</w:t>
      </w:r>
    </w:p>
    <w:p>
      <w:pPr>
        <w:pStyle w:val="44"/>
        <w:ind w:firstLine="640"/>
      </w:pPr>
      <w:r>
        <w:rPr>
          <w:rFonts w:hint="eastAsia"/>
        </w:rPr>
        <w:t>应急办主任组织厅指挥部相关成员单位，分析研判灾情</w:t>
      </w:r>
      <w:r>
        <w:t>，并</w:t>
      </w:r>
      <w:r>
        <w:rPr>
          <w:rFonts w:hint="eastAsia"/>
        </w:rPr>
        <w:t>视情</w:t>
      </w:r>
      <w:r>
        <w:t>连线</w:t>
      </w:r>
      <w:r>
        <w:rPr>
          <w:rFonts w:hint="eastAsia"/>
        </w:rPr>
        <w:t>相关</w:t>
      </w:r>
      <w:r>
        <w:t>市</w:t>
      </w:r>
      <w:r>
        <w:rPr>
          <w:rFonts w:hint="eastAsia"/>
        </w:rPr>
        <w:t>、</w:t>
      </w:r>
      <w:r>
        <w:t>县交通运输主管部门</w:t>
      </w:r>
      <w:r>
        <w:rPr>
          <w:rFonts w:hint="eastAsia"/>
        </w:rPr>
        <w:t>了解现场情况</w:t>
      </w:r>
      <w:r>
        <w:t>。</w:t>
      </w:r>
    </w:p>
    <w:p>
      <w:pPr>
        <w:pStyle w:val="44"/>
        <w:ind w:firstLine="640"/>
      </w:pPr>
      <w:r>
        <w:rPr>
          <w:rFonts w:hint="eastAsia"/>
        </w:rPr>
        <w:t>厅指挥部视情</w:t>
      </w:r>
      <w:r>
        <w:t>派出</w:t>
      </w:r>
      <w:r>
        <w:rPr>
          <w:rFonts w:hint="eastAsia"/>
        </w:rPr>
        <w:t>前方</w:t>
      </w:r>
      <w:r>
        <w:t>工作</w:t>
      </w:r>
      <w:r>
        <w:rPr>
          <w:rFonts w:hint="eastAsia"/>
        </w:rPr>
        <w:t>指导</w:t>
      </w:r>
      <w:r>
        <w:t>组、专家组指导</w:t>
      </w:r>
      <w:r>
        <w:rPr>
          <w:rFonts w:hint="eastAsia"/>
        </w:rPr>
        <w:t>现场应急处置</w:t>
      </w:r>
      <w:r>
        <w:t>工作。</w:t>
      </w:r>
    </w:p>
    <w:p>
      <w:pPr>
        <w:pStyle w:val="44"/>
        <w:ind w:firstLine="640"/>
      </w:pPr>
      <w:r>
        <w:t>根据灾情和抢险救灾需要，</w:t>
      </w:r>
      <w:r>
        <w:rPr>
          <w:rFonts w:hint="eastAsia"/>
        </w:rPr>
        <w:t>安排相关应急</w:t>
      </w:r>
      <w:r>
        <w:t>救援力量</w:t>
      </w:r>
      <w:r>
        <w:rPr>
          <w:rFonts w:hint="eastAsia"/>
        </w:rPr>
        <w:t>支援抢险</w:t>
      </w:r>
      <w:r>
        <w:t>救灾现场</w:t>
      </w:r>
      <w:r>
        <w:rPr>
          <w:rFonts w:hint="eastAsia"/>
        </w:rPr>
        <w:t>或</w:t>
      </w:r>
      <w:r>
        <w:t>做好应急备勤</w:t>
      </w:r>
      <w:r>
        <w:rPr>
          <w:rFonts w:hint="eastAsia"/>
        </w:rPr>
        <w:t>。</w:t>
      </w:r>
    </w:p>
    <w:p>
      <w:pPr>
        <w:pStyle w:val="44"/>
        <w:ind w:firstLine="640"/>
      </w:pPr>
      <w:r>
        <w:t>应急办</w:t>
      </w:r>
      <w:r>
        <w:rPr>
          <w:rFonts w:hint="eastAsia"/>
        </w:rPr>
        <w:t>根据突发事件特点</w:t>
      </w:r>
      <w:r>
        <w:t>及时收集、分析各类预警预报信息。</w:t>
      </w:r>
    </w:p>
    <w:p>
      <w:pPr>
        <w:pStyle w:val="44"/>
        <w:ind w:firstLine="640"/>
      </w:pPr>
      <w:r>
        <w:rPr>
          <w:rFonts w:hint="eastAsia"/>
        </w:rPr>
        <w:t>厅指挥部成员单位、</w:t>
      </w:r>
      <w:r>
        <w:t>受突发事件影响地区交通运输主管部门每日17时向厅指挥部报告</w:t>
      </w:r>
      <w:r>
        <w:rPr>
          <w:rFonts w:hint="eastAsia"/>
        </w:rPr>
        <w:t>应急工作信息；突发情况随时报告</w:t>
      </w:r>
      <w:r>
        <w:t>。</w:t>
      </w:r>
    </w:p>
    <w:p>
      <w:pPr>
        <w:pStyle w:val="44"/>
        <w:ind w:firstLine="640"/>
      </w:pPr>
      <w:r>
        <w:rPr>
          <w:rFonts w:hint="eastAsia"/>
        </w:rPr>
        <w:t>应急办</w:t>
      </w:r>
      <w:r>
        <w:t>每日18时</w:t>
      </w:r>
      <w:r>
        <w:rPr>
          <w:rFonts w:hint="eastAsia"/>
        </w:rPr>
        <w:t>向省政府和</w:t>
      </w:r>
      <w:r>
        <w:t>交通运输部</w:t>
      </w:r>
      <w:r>
        <w:rPr>
          <w:rFonts w:hint="eastAsia"/>
        </w:rPr>
        <w:t>报告应急</w:t>
      </w:r>
      <w:r>
        <w:t>工作信息</w:t>
      </w:r>
      <w:r>
        <w:rPr>
          <w:rFonts w:hint="eastAsia"/>
        </w:rPr>
        <w:t>；突发情况随时报告。</w:t>
      </w:r>
    </w:p>
    <w:p>
      <w:pPr>
        <w:pStyle w:val="44"/>
        <w:ind w:firstLine="640"/>
      </w:pPr>
      <w:r>
        <w:rPr>
          <w:rFonts w:hint="eastAsia"/>
        </w:rPr>
        <w:t>其他必要的应急处置措施。</w:t>
      </w:r>
    </w:p>
    <w:p>
      <w:pPr>
        <w:pStyle w:val="38"/>
        <w:ind w:firstLine="640"/>
      </w:pPr>
      <w:bookmarkStart w:id="62" w:name="_Toc94283128"/>
      <w:r>
        <w:t>信息发布</w:t>
      </w:r>
      <w:bookmarkEnd w:id="62"/>
    </w:p>
    <w:p>
      <w:pPr>
        <w:pStyle w:val="35"/>
        <w:ind w:firstLine="640"/>
      </w:pPr>
      <w:r>
        <w:rPr>
          <w:rFonts w:hint="eastAsia"/>
        </w:rPr>
        <w:t>在厅指挥部的统一指挥下，宣传报道组</w:t>
      </w:r>
      <w:bookmarkStart w:id="63" w:name="_Hlk92884401"/>
      <w:r>
        <w:rPr>
          <w:rFonts w:hint="eastAsia"/>
        </w:rPr>
        <w:t>收集社会舆情和各类突发事件工作信息</w:t>
      </w:r>
      <w:bookmarkEnd w:id="63"/>
      <w:r>
        <w:rPr>
          <w:rFonts w:hint="eastAsia"/>
        </w:rPr>
        <w:t>，</w:t>
      </w:r>
      <w:bookmarkStart w:id="64" w:name="_Hlk92884436"/>
      <w:r>
        <w:rPr>
          <w:rFonts w:hint="eastAsia"/>
        </w:rPr>
        <w:t>经整理分析后，向厅指挥部报告，并视情提出信息发布建议。</w:t>
      </w:r>
      <w:bookmarkEnd w:id="64"/>
    </w:p>
    <w:p>
      <w:pPr>
        <w:pStyle w:val="35"/>
        <w:ind w:firstLine="640"/>
      </w:pPr>
      <w:r>
        <w:rPr>
          <w:rFonts w:hint="eastAsia"/>
        </w:rPr>
        <w:t>信息发布遵循实事求是、及时准确的原则。对外发布信息需要经厅指挥部确认，并报省政府应急指挥机构批准后，方可由新闻发言人发布，不得擅自对外发布事件信息。</w:t>
      </w:r>
    </w:p>
    <w:p>
      <w:pPr>
        <w:pStyle w:val="38"/>
        <w:ind w:firstLine="640"/>
      </w:pPr>
      <w:bookmarkStart w:id="65" w:name="_Toc91433564"/>
      <w:bookmarkStart w:id="66" w:name="_Toc92260480"/>
      <w:bookmarkStart w:id="67" w:name="_Toc94283129"/>
      <w:r>
        <w:rPr>
          <w:rFonts w:hint="eastAsia"/>
        </w:rPr>
        <w:t>应急响应变更与</w:t>
      </w:r>
      <w:bookmarkEnd w:id="65"/>
      <w:bookmarkEnd w:id="66"/>
      <w:r>
        <w:rPr>
          <w:rFonts w:hint="eastAsia"/>
        </w:rPr>
        <w:t>终止</w:t>
      </w:r>
      <w:bookmarkEnd w:id="67"/>
    </w:p>
    <w:p>
      <w:pPr>
        <w:pStyle w:val="35"/>
        <w:ind w:firstLine="640"/>
      </w:pPr>
      <w:bookmarkStart w:id="68" w:name="OLE_LINK10"/>
      <w:r>
        <w:rPr>
          <w:rFonts w:hint="eastAsia"/>
        </w:rPr>
        <w:t>厅指挥部根据省政府、交通运输部相关应急响应等级，灾害事件的发展趋势和其对交通运输行业的影响情况的变化，</w:t>
      </w:r>
      <w:r>
        <w:t>适时调整应急响应等级。</w:t>
      </w:r>
    </w:p>
    <w:p>
      <w:pPr>
        <w:pStyle w:val="35"/>
        <w:ind w:firstLine="640"/>
      </w:pPr>
      <w:r>
        <w:rPr>
          <w:rFonts w:hint="eastAsia"/>
        </w:rPr>
        <w:t>当突发事件得到有效控制或消除，应急办提出应急响应终止建议，按照“谁启动、谁终止”的原则，由指挥长或副指挥长</w:t>
      </w:r>
      <w:r>
        <w:t>宣布应急响应</w:t>
      </w:r>
      <w:r>
        <w:rPr>
          <w:rFonts w:hint="eastAsia"/>
        </w:rPr>
        <w:t>终止</w:t>
      </w:r>
      <w:r>
        <w:t>。</w:t>
      </w:r>
      <w:bookmarkEnd w:id="68"/>
    </w:p>
    <w:p>
      <w:pPr>
        <w:pStyle w:val="36"/>
        <w:ind w:firstLine="640"/>
      </w:pPr>
      <w:bookmarkStart w:id="69" w:name="_Toc94283130"/>
      <w:r>
        <w:t>善后工作</w:t>
      </w:r>
      <w:bookmarkEnd w:id="69"/>
    </w:p>
    <w:p>
      <w:pPr>
        <w:pStyle w:val="38"/>
        <w:ind w:firstLine="640"/>
      </w:pPr>
      <w:bookmarkStart w:id="70" w:name="_Toc94283131"/>
      <w:r>
        <w:t>善后处置</w:t>
      </w:r>
      <w:bookmarkEnd w:id="70"/>
    </w:p>
    <w:p>
      <w:pPr>
        <w:pStyle w:val="35"/>
        <w:ind w:firstLine="640"/>
      </w:pPr>
      <w:bookmarkStart w:id="71" w:name="_Hlk90469883"/>
      <w:bookmarkStart w:id="72" w:name="_Hlk92888042"/>
      <w:r>
        <w:rPr>
          <w:rFonts w:hint="eastAsia"/>
        </w:rPr>
        <w:t>应急办组织厅直属相关单位</w:t>
      </w:r>
      <w:bookmarkEnd w:id="71"/>
      <w:bookmarkStart w:id="73" w:name="_Hlk92119361"/>
      <w:r>
        <w:rPr>
          <w:rFonts w:hint="eastAsia"/>
        </w:rPr>
        <w:t>统计本单位分管范围</w:t>
      </w:r>
      <w:r>
        <w:t>遭受损失情况，</w:t>
      </w:r>
      <w:bookmarkEnd w:id="73"/>
      <w:r>
        <w:rPr>
          <w:rFonts w:hint="eastAsia"/>
        </w:rPr>
        <w:t>并组织</w:t>
      </w:r>
      <w:r>
        <w:t>制定救助、补偿、抚慰、安置</w:t>
      </w:r>
      <w:r>
        <w:rPr>
          <w:rFonts w:hint="eastAsia"/>
        </w:rPr>
        <w:t>等善后工作方案，</w:t>
      </w:r>
      <w:r>
        <w:t>对突发事件中的伤亡人员、应急处置人员，以及</w:t>
      </w:r>
      <w:r>
        <w:rPr>
          <w:rFonts w:hint="eastAsia"/>
        </w:rPr>
        <w:t>紧急征用相关单位及个人的物资，按照规定给与抚恤、补助或补偿。各相关单位应</w:t>
      </w:r>
      <w:r>
        <w:t>妥善解决因处置突发事件引发的矛盾纠纷</w:t>
      </w:r>
      <w:r>
        <w:rPr>
          <w:rFonts w:hint="eastAsia"/>
        </w:rPr>
        <w:t>，并配合相关部门开展防疫</w:t>
      </w:r>
      <w:r>
        <w:t>和环境污染消除工作。</w:t>
      </w:r>
      <w:bookmarkEnd w:id="72"/>
    </w:p>
    <w:p>
      <w:pPr>
        <w:pStyle w:val="38"/>
        <w:ind w:firstLine="640"/>
      </w:pPr>
      <w:bookmarkStart w:id="74" w:name="_Toc94283132"/>
      <w:r>
        <w:t>调查评估</w:t>
      </w:r>
      <w:bookmarkEnd w:id="74"/>
    </w:p>
    <w:p>
      <w:pPr>
        <w:pStyle w:val="35"/>
        <w:ind w:firstLine="640"/>
      </w:pPr>
      <w:bookmarkStart w:id="75" w:name="_Hlk92888190"/>
      <w:r>
        <w:rPr>
          <w:rFonts w:hint="eastAsia"/>
        </w:rPr>
        <w:t>应急办组织相关单位</w:t>
      </w:r>
      <w:r>
        <w:t>对突发事件的原因、处置</w:t>
      </w:r>
      <w:r>
        <w:rPr>
          <w:rFonts w:hint="eastAsia"/>
        </w:rPr>
        <w:t>经过、损失、工作成效、责任单位奖惩等做出调查评估，总结经验教训，制定改进措施，编制调查评估报告，并按规定向省政府和交通运输部报告。</w:t>
      </w:r>
      <w:bookmarkEnd w:id="75"/>
      <w:r>
        <w:rPr>
          <w:rFonts w:hint="eastAsia"/>
        </w:rPr>
        <w:t>法律、法规对事故调查等另有规定的，从其规定。</w:t>
      </w:r>
    </w:p>
    <w:p>
      <w:pPr>
        <w:pStyle w:val="38"/>
        <w:ind w:firstLine="640"/>
      </w:pPr>
      <w:bookmarkStart w:id="76" w:name="_Toc94283133"/>
      <w:r>
        <w:rPr>
          <w:rFonts w:hint="eastAsia"/>
        </w:rPr>
        <w:t>恢复重建</w:t>
      </w:r>
      <w:bookmarkEnd w:id="76"/>
    </w:p>
    <w:p>
      <w:pPr>
        <w:pStyle w:val="35"/>
        <w:ind w:firstLine="640"/>
      </w:pPr>
      <w:r>
        <w:t>突发事件应急处置工作结束后，</w:t>
      </w:r>
      <w:r>
        <w:rPr>
          <w:rFonts w:hint="eastAsia"/>
        </w:rPr>
        <w:t>由</w:t>
      </w:r>
      <w:bookmarkStart w:id="77" w:name="_Hlk92888353"/>
      <w:r>
        <w:rPr>
          <w:rFonts w:hint="eastAsia"/>
        </w:rPr>
        <w:t>厅建设管理处组织收集交通运输基础设施因突发事件损毁的情况，组织制定恢复重建计划，并及时组织修复损毁的交通基础设施。</w:t>
      </w:r>
      <w:bookmarkEnd w:id="77"/>
    </w:p>
    <w:p>
      <w:pPr>
        <w:pStyle w:val="36"/>
        <w:ind w:firstLine="640"/>
      </w:pPr>
      <w:bookmarkStart w:id="78" w:name="_Toc94283134"/>
      <w:r>
        <w:t>应急保障</w:t>
      </w:r>
      <w:bookmarkEnd w:id="78"/>
    </w:p>
    <w:p>
      <w:pPr>
        <w:pStyle w:val="38"/>
        <w:ind w:firstLine="640"/>
      </w:pPr>
      <w:bookmarkStart w:id="79" w:name="_Toc94283135"/>
      <w:r>
        <w:t>队伍保障</w:t>
      </w:r>
      <w:bookmarkEnd w:id="79"/>
    </w:p>
    <w:p>
      <w:pPr>
        <w:pStyle w:val="35"/>
        <w:spacing w:line="560" w:lineRule="exact"/>
        <w:ind w:firstLine="640"/>
      </w:pPr>
      <w:bookmarkStart w:id="80" w:name="_Hlk92888730"/>
      <w:bookmarkStart w:id="81" w:name="_Hlk92888441"/>
      <w:r>
        <w:rPr>
          <w:rFonts w:hint="eastAsia"/>
        </w:rPr>
        <w:t>各级交通运输主管部门建立以专业应急救援力量为主体，企业应急救援力量和社会应急救援力量为补充的应急救援队伍保障机制。</w:t>
      </w:r>
      <w:bookmarkEnd w:id="80"/>
    </w:p>
    <w:p>
      <w:pPr>
        <w:pStyle w:val="35"/>
        <w:spacing w:line="560" w:lineRule="exact"/>
        <w:ind w:firstLine="640"/>
      </w:pPr>
      <w:r>
        <w:rPr>
          <w:rFonts w:hint="eastAsia"/>
        </w:rPr>
        <w:t>省级专业应急救援队伍建设依托河南国家区域性公路应急救援中心。同时发挥道路运输企业、建设施工企业、高速公路运营单位、地铁运营单位和普通公路管理养护单位、水上救援队等专兼职应急救援队伍的作用。</w:t>
      </w:r>
    </w:p>
    <w:p>
      <w:pPr>
        <w:pStyle w:val="35"/>
        <w:spacing w:line="560" w:lineRule="exact"/>
        <w:ind w:firstLine="640"/>
      </w:pPr>
      <w:r>
        <w:rPr>
          <w:rFonts w:hint="eastAsia"/>
        </w:rPr>
        <w:t>应急办加强与专业应急救援力量、企业应急救援力量和社会应急救援力量的联系，适时组织联合培训、联合演练，提高协同应急能力。</w:t>
      </w:r>
    </w:p>
    <w:p>
      <w:pPr>
        <w:pStyle w:val="35"/>
        <w:ind w:firstLine="640"/>
      </w:pPr>
      <w:bookmarkStart w:id="82" w:name="OLE_LINK4"/>
      <w:r>
        <w:rPr>
          <w:rFonts w:hint="eastAsia"/>
        </w:rPr>
        <w:t>各级交通运输主管部门应当统计辖区内的应急救援力量信息，并建立台账。</w:t>
      </w:r>
      <w:bookmarkEnd w:id="81"/>
      <w:bookmarkEnd w:id="82"/>
    </w:p>
    <w:p>
      <w:pPr>
        <w:pStyle w:val="38"/>
        <w:ind w:firstLine="640"/>
      </w:pPr>
      <w:bookmarkStart w:id="83" w:name="_Toc94283136"/>
      <w:r>
        <w:t>资金保障</w:t>
      </w:r>
      <w:bookmarkEnd w:id="83"/>
    </w:p>
    <w:p>
      <w:pPr>
        <w:pStyle w:val="35"/>
        <w:ind w:firstLine="640"/>
      </w:pPr>
      <w:r>
        <w:rPr>
          <w:rFonts w:hint="eastAsia"/>
        </w:rPr>
        <w:t>各级交通运输主管部门</w:t>
      </w:r>
      <w:bookmarkStart w:id="84" w:name="_Hlk92889918"/>
      <w:r>
        <w:rPr>
          <w:rFonts w:hint="eastAsia"/>
        </w:rPr>
        <w:t>、厅指挥部成员单位</w:t>
      </w:r>
      <w:bookmarkEnd w:id="84"/>
      <w:r>
        <w:rPr>
          <w:rFonts w:hint="eastAsia"/>
        </w:rPr>
        <w:t>应针对突发性事件备足应急资金，将应急工作所需的各项经费纳入年度预算。应急保障资金主要用于应急预案编制及修订、应急培训演练、应急装备和队伍建设、日常应急管理、应急宣传等工作。优化完善现有资金监管和评估体系，对交通运输突发事件应急保障资金的使用情况进行监管和评估。</w:t>
      </w:r>
    </w:p>
    <w:p>
      <w:pPr>
        <w:pStyle w:val="38"/>
        <w:ind w:firstLine="640"/>
      </w:pPr>
      <w:bookmarkStart w:id="85" w:name="_Toc94283137"/>
      <w:r>
        <w:t>通信保障</w:t>
      </w:r>
      <w:bookmarkEnd w:id="85"/>
    </w:p>
    <w:p>
      <w:pPr>
        <w:pStyle w:val="35"/>
        <w:ind w:firstLine="640"/>
      </w:pPr>
      <w:bookmarkStart w:id="86" w:name="_Toc257820120"/>
      <w:r>
        <w:rPr>
          <w:rFonts w:hint="eastAsia"/>
        </w:rPr>
        <w:t>省交通通信中心、高速公路联网监控收费通信服务有限公司具体负责网络、视频、通信等保障工作；按照各自职责，做好应急通信车、卫星通信电话、路网通信设备等维护工作，保障通信设备链路畅通；协助市、县交通运输主管部门和相关交通运输管理部门做好应急通信技术衔接，保证省交通运输厅与现场通信畅通。</w:t>
      </w:r>
      <w:bookmarkEnd w:id="86"/>
    </w:p>
    <w:p>
      <w:pPr>
        <w:pStyle w:val="38"/>
        <w:ind w:firstLine="640"/>
      </w:pPr>
      <w:bookmarkStart w:id="87" w:name="_Toc94283138"/>
      <w:r>
        <w:rPr>
          <w:rFonts w:hint="eastAsia"/>
        </w:rPr>
        <w:t>运力</w:t>
      </w:r>
      <w:r>
        <w:t>保障</w:t>
      </w:r>
      <w:bookmarkEnd w:id="87"/>
    </w:p>
    <w:p>
      <w:pPr>
        <w:pStyle w:val="35"/>
        <w:ind w:firstLine="640"/>
      </w:pPr>
      <w:bookmarkStart w:id="88" w:name="_Hlk93853774"/>
      <w:bookmarkStart w:id="89" w:name="_Hlk92121943"/>
      <w:r>
        <w:rPr>
          <w:rFonts w:hint="eastAsia"/>
        </w:rPr>
        <w:t>省运输事业发展中心</w:t>
      </w:r>
      <w:bookmarkEnd w:id="88"/>
      <w:bookmarkStart w:id="90" w:name="_Hlk93853791"/>
      <w:r>
        <w:rPr>
          <w:rFonts w:hint="eastAsia"/>
        </w:rPr>
        <w:t>牵头</w:t>
      </w:r>
      <w:bookmarkEnd w:id="90"/>
      <w:r>
        <w:rPr>
          <w:rFonts w:hint="eastAsia"/>
        </w:rPr>
        <w:t>完善道路应急运输协调机制，科学配置、使用省、市、县三级道路应急运输力量，</w:t>
      </w:r>
      <w:bookmarkStart w:id="91" w:name="_Hlk94276858"/>
      <w:r>
        <w:rPr>
          <w:rFonts w:hint="eastAsia"/>
        </w:rPr>
        <w:t>定期统计、登记全省道路应急运力，</w:t>
      </w:r>
      <w:bookmarkEnd w:id="91"/>
      <w:r>
        <w:rPr>
          <w:rFonts w:hint="eastAsia"/>
        </w:rPr>
        <w:t>形成顺畅、有序、联动、高效的应急运输保障体系，</w:t>
      </w:r>
      <w:bookmarkStart w:id="92" w:name="_Hlk94276887"/>
      <w:r>
        <w:rPr>
          <w:rFonts w:hint="eastAsia"/>
        </w:rPr>
        <w:t>确保应急物资、人员的高效运输</w:t>
      </w:r>
      <w:bookmarkEnd w:id="92"/>
      <w:r>
        <w:rPr>
          <w:rFonts w:hint="eastAsia"/>
        </w:rPr>
        <w:t>。</w:t>
      </w:r>
      <w:bookmarkEnd w:id="89"/>
    </w:p>
    <w:p>
      <w:pPr>
        <w:pStyle w:val="38"/>
        <w:ind w:firstLine="640"/>
      </w:pPr>
      <w:bookmarkStart w:id="93" w:name="_Toc94283139"/>
      <w:r>
        <w:t>物资保障</w:t>
      </w:r>
      <w:bookmarkEnd w:id="93"/>
    </w:p>
    <w:p>
      <w:pPr>
        <w:pStyle w:val="35"/>
        <w:ind w:firstLine="640"/>
      </w:pPr>
      <w:bookmarkStart w:id="94" w:name="_Hlk89849234"/>
      <w:r>
        <w:rPr>
          <w:rFonts w:hint="eastAsia"/>
        </w:rPr>
        <w:t>在省级层面，河南国家区域性公路应急救援中心储备防汛排涝、大型挖掘、道路抢险、应急桥梁等应急装备，并配套建立操作员、技术员队伍，保障装备能快速投入使用。厅直属相关单位结合应急需要指导行业配备其他应急装备。</w:t>
      </w:r>
    </w:p>
    <w:p>
      <w:pPr>
        <w:pStyle w:val="35"/>
        <w:ind w:firstLine="640"/>
      </w:pPr>
      <w:bookmarkStart w:id="95" w:name="_Hlk92889655"/>
      <w:r>
        <w:rPr>
          <w:rFonts w:hint="eastAsia"/>
        </w:rPr>
        <w:t>市、县级交通运输主管部门可自行储备或依托社会力量保障突发事件应急装备物资。</w:t>
      </w:r>
    </w:p>
    <w:p>
      <w:pPr>
        <w:pStyle w:val="35"/>
        <w:ind w:firstLine="640"/>
      </w:pPr>
      <w:bookmarkStart w:id="96" w:name="_Hlk91456857"/>
      <w:r>
        <w:rPr>
          <w:rFonts w:hint="eastAsia"/>
        </w:rPr>
        <w:t>各级交通运输主管部门应统计本级行政区域内的应急物资，掌握物资、装备的类型、数量、性能、存放位置等，并建立台账。</w:t>
      </w:r>
      <w:bookmarkEnd w:id="94"/>
      <w:bookmarkEnd w:id="95"/>
      <w:bookmarkEnd w:id="96"/>
    </w:p>
    <w:p>
      <w:pPr>
        <w:pStyle w:val="38"/>
        <w:ind w:firstLine="640"/>
      </w:pPr>
      <w:bookmarkStart w:id="97" w:name="_Toc94283140"/>
      <w:r>
        <w:t>技术保障</w:t>
      </w:r>
      <w:bookmarkEnd w:id="97"/>
    </w:p>
    <w:p>
      <w:pPr>
        <w:pStyle w:val="35"/>
        <w:ind w:firstLine="640"/>
      </w:pPr>
      <w:r>
        <w:rPr>
          <w:rFonts w:hint="eastAsia"/>
        </w:rPr>
        <w:t>省交通运输厅加强交通运输行业安全应急领域科技创新，鼓励和支持突发事件预防、监测、预警、应急处置等方向的技术研发。强化科技成果转化，推广应用</w:t>
      </w:r>
      <w:r>
        <w:rPr>
          <w:rFonts w:hint="eastAsia" w:cs="宋体"/>
          <w:color w:val="000000"/>
          <w:kern w:val="0"/>
        </w:rPr>
        <w:t>人工智能、5G通信、物联网、无人机等</w:t>
      </w:r>
      <w:r>
        <w:rPr>
          <w:rFonts w:hint="eastAsia"/>
        </w:rPr>
        <w:t>先进技术手段和装备，不断提升交通运输行业突发事件应急指挥和处置的科学化、专业化、智能化、精细化水平。</w:t>
      </w:r>
    </w:p>
    <w:p>
      <w:pPr>
        <w:pStyle w:val="36"/>
        <w:ind w:firstLine="640"/>
      </w:pPr>
      <w:bookmarkStart w:id="98" w:name="5517-1515397569270"/>
      <w:bookmarkEnd w:id="98"/>
      <w:bookmarkStart w:id="99" w:name="_Toc94283141"/>
      <w:r>
        <w:rPr>
          <w:rFonts w:hint="eastAsia"/>
        </w:rPr>
        <w:t>预案</w:t>
      </w:r>
      <w:r>
        <w:t>管理</w:t>
      </w:r>
      <w:bookmarkEnd w:id="99"/>
    </w:p>
    <w:p>
      <w:pPr>
        <w:pStyle w:val="38"/>
        <w:ind w:firstLine="640"/>
      </w:pPr>
      <w:bookmarkStart w:id="100" w:name="_Toc94283142"/>
      <w:r>
        <w:rPr>
          <w:rFonts w:hint="eastAsia"/>
        </w:rPr>
        <w:t>预案编制、备案与发布</w:t>
      </w:r>
      <w:bookmarkEnd w:id="100"/>
    </w:p>
    <w:p>
      <w:pPr>
        <w:pStyle w:val="35"/>
        <w:ind w:firstLine="640"/>
      </w:pPr>
      <w:r>
        <w:rPr>
          <w:rFonts w:hint="eastAsia"/>
        </w:rPr>
        <w:t>厅应急预案编制工作应当做到科学、严谨。编制过程中要广泛听取厅机关相关处室、厅直属相关单位和专家意见。厅应急预案应经有关会议审议后，以省交通运输厅名义印发，并报省政府和交通运输部备案。</w:t>
      </w:r>
    </w:p>
    <w:p>
      <w:pPr>
        <w:pStyle w:val="38"/>
        <w:ind w:firstLine="640"/>
      </w:pPr>
      <w:bookmarkStart w:id="101" w:name="_Toc94283143"/>
      <w:r>
        <w:rPr>
          <w:rFonts w:hint="eastAsia"/>
        </w:rPr>
        <w:t>预案修订</w:t>
      </w:r>
      <w:bookmarkEnd w:id="101"/>
    </w:p>
    <w:p>
      <w:pPr>
        <w:pStyle w:val="35"/>
        <w:ind w:firstLine="640"/>
      </w:pPr>
      <w:r>
        <w:rPr>
          <w:rFonts w:hint="eastAsia"/>
        </w:rPr>
        <w:t>应急预案牵头编制单位应当</w:t>
      </w:r>
      <w:r>
        <w:t>依据有关法律、行政法规、规章</w:t>
      </w:r>
      <w:r>
        <w:rPr>
          <w:rFonts w:hint="eastAsia"/>
        </w:rPr>
        <w:t>等，</w:t>
      </w:r>
      <w:r>
        <w:t>定期或适时修订应急预案，修订周期不超过三年。</w:t>
      </w:r>
    </w:p>
    <w:p>
      <w:pPr>
        <w:pStyle w:val="35"/>
        <w:ind w:firstLine="640"/>
      </w:pPr>
      <w:r>
        <w:rPr>
          <w:rFonts w:hint="eastAsia"/>
        </w:rPr>
        <w:t>当出现下列情形之一时，要及时修订应急预案：</w:t>
      </w:r>
    </w:p>
    <w:p>
      <w:pPr>
        <w:pStyle w:val="44"/>
        <w:ind w:firstLine="640"/>
      </w:pPr>
      <w:r>
        <w:rPr>
          <w:rFonts w:hint="eastAsia"/>
        </w:rPr>
        <w:t>有关法律、法规、规章、标准、上位预案中的有关规定发生变化的；</w:t>
      </w:r>
    </w:p>
    <w:p>
      <w:pPr>
        <w:pStyle w:val="44"/>
        <w:ind w:firstLine="640"/>
      </w:pPr>
      <w:r>
        <w:rPr>
          <w:rFonts w:hint="eastAsia"/>
        </w:rPr>
        <w:t>应急指挥机构及其职责发生重大调整的；</w:t>
      </w:r>
    </w:p>
    <w:p>
      <w:pPr>
        <w:pStyle w:val="44"/>
        <w:ind w:firstLine="640"/>
      </w:pPr>
      <w:r>
        <w:rPr>
          <w:rFonts w:hint="eastAsia"/>
        </w:rPr>
        <w:t>面临的风险、应急资源发生重大变化的；</w:t>
      </w:r>
    </w:p>
    <w:p>
      <w:pPr>
        <w:pStyle w:val="44"/>
        <w:ind w:firstLine="640"/>
      </w:pPr>
      <w:r>
        <w:rPr>
          <w:rFonts w:hint="eastAsia"/>
        </w:rPr>
        <w:t>在灾害实际应对和应急演练中发现问题需要作出重大调整的；</w:t>
      </w:r>
    </w:p>
    <w:p>
      <w:pPr>
        <w:pStyle w:val="44"/>
        <w:ind w:firstLine="640"/>
      </w:pPr>
      <w:r>
        <w:rPr>
          <w:rFonts w:hint="eastAsia"/>
        </w:rPr>
        <w:t>其他需要修订应急预案的情况。</w:t>
      </w:r>
    </w:p>
    <w:p>
      <w:pPr>
        <w:pStyle w:val="38"/>
        <w:ind w:firstLine="640"/>
      </w:pPr>
      <w:bookmarkStart w:id="102" w:name="_Toc94283144"/>
      <w:r>
        <w:rPr>
          <w:rFonts w:hint="eastAsia"/>
        </w:rPr>
        <w:t>预案培训与演练</w:t>
      </w:r>
      <w:bookmarkEnd w:id="102"/>
    </w:p>
    <w:p>
      <w:pPr>
        <w:pStyle w:val="35"/>
        <w:ind w:firstLine="640"/>
      </w:pPr>
      <w:bookmarkStart w:id="103" w:name="_Hlk92890597"/>
      <w:r>
        <w:rPr>
          <w:rFonts w:hint="eastAsia"/>
        </w:rPr>
        <w:t>应急办组织开展应急预案相关培训工作。培训工作应结合实际，可采取多种组织形式，至少每年一次。</w:t>
      </w:r>
      <w:bookmarkStart w:id="104" w:name="_Hlk92890627"/>
      <w:r>
        <w:rPr>
          <w:rFonts w:hint="eastAsia"/>
        </w:rPr>
        <w:t>培训要科学合理，有针对性地提升风险防范意识和应急处置能力。</w:t>
      </w:r>
      <w:bookmarkEnd w:id="103"/>
      <w:bookmarkEnd w:id="104"/>
    </w:p>
    <w:p>
      <w:pPr>
        <w:pStyle w:val="35"/>
        <w:ind w:firstLine="640"/>
      </w:pPr>
      <w:bookmarkStart w:id="105" w:name="_Hlk92890681"/>
      <w:r>
        <w:rPr>
          <w:rFonts w:hint="eastAsia"/>
        </w:rPr>
        <w:t>为检验预案的科学性和可操作性，增强各单位对应急职责和应急处置流程的掌握，检查应急队伍、装备、物资等方面的准备情况，提高从业人员风险防范意识和自救互救等灾害应对能力，各行业管理单位要组织开展常态化演练。</w:t>
      </w:r>
      <w:bookmarkEnd w:id="105"/>
    </w:p>
    <w:p>
      <w:pPr>
        <w:pStyle w:val="35"/>
        <w:ind w:firstLine="640"/>
      </w:pPr>
      <w:r>
        <w:rPr>
          <w:rFonts w:hint="eastAsia"/>
        </w:rPr>
        <w:t>厅指挥部相关成员单位每年</w:t>
      </w:r>
      <w:r>
        <w:t>12月向</w:t>
      </w:r>
      <w:r>
        <w:rPr>
          <w:rFonts w:hint="eastAsia"/>
        </w:rPr>
        <w:t>应急办</w:t>
      </w:r>
      <w:r>
        <w:t>上报演练计划</w:t>
      </w:r>
      <w:r>
        <w:rPr>
          <w:rFonts w:hint="eastAsia"/>
        </w:rPr>
        <w:t>。应急办</w:t>
      </w:r>
      <w:r>
        <w:t>可</w:t>
      </w:r>
      <w:r>
        <w:rPr>
          <w:rFonts w:hint="eastAsia"/>
        </w:rPr>
        <w:t>视情</w:t>
      </w:r>
      <w:r>
        <w:t>根据演练计划，协调有意愿的单位开展启动厅级响应的联合演练。</w:t>
      </w:r>
    </w:p>
    <w:p>
      <w:pPr>
        <w:pStyle w:val="35"/>
        <w:ind w:firstLine="640"/>
      </w:pPr>
      <w:r>
        <w:rPr>
          <w:rFonts w:hint="eastAsia"/>
        </w:rPr>
        <w:t>演练结束后，由演练主办单位组织各参演单位召开演练评估会并编制评估报告，必要时可邀请有关专家参与。</w:t>
      </w:r>
    </w:p>
    <w:p>
      <w:pPr>
        <w:pStyle w:val="36"/>
        <w:ind w:firstLine="640"/>
      </w:pPr>
      <w:bookmarkStart w:id="106" w:name="_Toc94283145"/>
      <w:r>
        <w:t>附则</w:t>
      </w:r>
      <w:bookmarkEnd w:id="106"/>
    </w:p>
    <w:p>
      <w:pPr>
        <w:pStyle w:val="44"/>
        <w:ind w:firstLine="640"/>
      </w:pPr>
      <w:r>
        <w:rPr>
          <w:rFonts w:hint="eastAsia"/>
        </w:rPr>
        <w:t>本预案由河南省交通运输厅制定和解释。</w:t>
      </w:r>
    </w:p>
    <w:p>
      <w:pPr>
        <w:pStyle w:val="44"/>
        <w:ind w:firstLine="640"/>
      </w:pPr>
      <w:r>
        <w:rPr>
          <w:rFonts w:hint="eastAsia"/>
        </w:rPr>
        <w:t>本预案自印发之日起施行；《河南省交通运输综合应急预案》（豫交文〔2</w:t>
      </w:r>
      <w:r>
        <w:t>018</w:t>
      </w:r>
      <w:r>
        <w:rPr>
          <w:rFonts w:hint="eastAsia"/>
        </w:rPr>
        <w:t>〕</w:t>
      </w:r>
      <w:r>
        <w:t>144</w:t>
      </w:r>
      <w:r>
        <w:rPr>
          <w:rFonts w:hint="eastAsia"/>
        </w:rPr>
        <w:t>号）同时废止。</w:t>
      </w:r>
    </w:p>
    <w:p>
      <w:pPr>
        <w:pStyle w:val="36"/>
        <w:ind w:firstLine="640"/>
      </w:pPr>
      <w:bookmarkStart w:id="107" w:name="_Toc94283146"/>
      <w:r>
        <w:t>附件</w:t>
      </w:r>
      <w:bookmarkEnd w:id="107"/>
    </w:p>
    <w:p>
      <w:pPr>
        <w:pStyle w:val="35"/>
        <w:ind w:firstLine="640"/>
        <w:jc w:val="left"/>
      </w:pPr>
      <w:r>
        <w:rPr>
          <w:rFonts w:hint="eastAsia"/>
        </w:rPr>
        <w:t>附件1：</w:t>
      </w:r>
      <w:r>
        <w:t>河南省交通运输突发事件应急组织机构</w:t>
      </w:r>
      <w:r>
        <w:rPr>
          <w:rFonts w:hint="eastAsia"/>
        </w:rPr>
        <w:t>图</w:t>
      </w:r>
    </w:p>
    <w:p>
      <w:pPr>
        <w:pStyle w:val="35"/>
        <w:ind w:firstLine="640"/>
        <w:jc w:val="left"/>
      </w:pPr>
      <w:r>
        <w:t>附件2：河南省交通运输突发事件应急响应流程</w:t>
      </w:r>
      <w:r>
        <w:rPr>
          <w:rFonts w:hint="eastAsia"/>
        </w:rPr>
        <w:t>图</w:t>
      </w:r>
    </w:p>
    <w:p>
      <w:pPr>
        <w:pStyle w:val="35"/>
        <w:ind w:firstLine="640"/>
        <w:jc w:val="left"/>
      </w:pPr>
      <w:r>
        <w:rPr>
          <w:rFonts w:hint="eastAsia"/>
        </w:rPr>
        <w:t>附件3：河南省交通运输厅应急预案类别</w:t>
      </w:r>
    </w:p>
    <w:p>
      <w:pPr>
        <w:pStyle w:val="35"/>
        <w:ind w:firstLine="640"/>
        <w:jc w:val="left"/>
      </w:pPr>
      <w:r>
        <w:rPr>
          <w:rFonts w:hint="eastAsia"/>
        </w:rPr>
        <w:t>附件</w:t>
      </w:r>
      <w:r>
        <w:t>4</w:t>
      </w:r>
      <w:r>
        <w:rPr>
          <w:rFonts w:hint="eastAsia"/>
        </w:rPr>
        <w:t>：突发事件信息报告格式</w:t>
      </w:r>
    </w:p>
    <w:p>
      <w:pPr>
        <w:pStyle w:val="35"/>
        <w:ind w:firstLine="640"/>
        <w:jc w:val="left"/>
      </w:pPr>
      <w:r>
        <w:rPr>
          <w:rFonts w:hint="eastAsia"/>
        </w:rPr>
        <w:t>附件</w:t>
      </w:r>
      <w:r>
        <w:t>5</w:t>
      </w:r>
      <w:r>
        <w:rPr>
          <w:rFonts w:hint="eastAsia"/>
        </w:rPr>
        <w:t>：应急响应启动通知格式</w:t>
      </w:r>
    </w:p>
    <w:p>
      <w:pPr>
        <w:pStyle w:val="35"/>
        <w:ind w:firstLine="640"/>
        <w:jc w:val="left"/>
      </w:pPr>
    </w:p>
    <w:p>
      <w:pPr>
        <w:pStyle w:val="35"/>
        <w:ind w:firstLine="640"/>
        <w:sectPr>
          <w:footerReference r:id="rId5" w:type="default"/>
          <w:pgSz w:w="11906" w:h="16838"/>
          <w:pgMar w:top="1440" w:right="1800" w:bottom="1440" w:left="1800" w:header="851" w:footer="992" w:gutter="0"/>
          <w:pgNumType w:start="1"/>
          <w:cols w:space="425" w:num="1"/>
          <w:docGrid w:type="lines" w:linePitch="312" w:charSpace="0"/>
        </w:sectPr>
      </w:pPr>
    </w:p>
    <w:p>
      <w:pPr>
        <w:pStyle w:val="31"/>
      </w:pPr>
      <w:bookmarkStart w:id="108" w:name="_Toc94283147"/>
      <w:r>
        <w:t>河南省交通运输突发事件应急组织机构</w:t>
      </w:r>
      <w:r>
        <w:rPr>
          <w:rFonts w:hint="eastAsia"/>
        </w:rPr>
        <w:t>图</w:t>
      </w:r>
      <w:bookmarkEnd w:id="108"/>
    </w:p>
    <w:p>
      <w:pPr>
        <w:pStyle w:val="35"/>
        <w:spacing w:line="240" w:lineRule="auto"/>
        <w:ind w:firstLine="0" w:firstLineChars="0"/>
        <w:jc w:val="center"/>
      </w:pPr>
    </w:p>
    <w:p>
      <w:pPr>
        <w:pStyle w:val="35"/>
        <w:spacing w:line="240" w:lineRule="auto"/>
        <w:ind w:firstLine="0" w:firstLineChars="0"/>
        <w:jc w:val="center"/>
      </w:pPr>
    </w:p>
    <w:p>
      <w:pPr>
        <w:pStyle w:val="35"/>
        <w:spacing w:line="240" w:lineRule="auto"/>
        <w:ind w:firstLine="0" w:firstLineChars="0"/>
        <w:jc w:val="center"/>
      </w:pPr>
      <w:r>
        <w:drawing>
          <wp:inline distT="0" distB="0" distL="0" distR="0">
            <wp:extent cx="5039995" cy="7556500"/>
            <wp:effectExtent l="0" t="0" r="825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040000" cy="7556306"/>
                    </a:xfrm>
                    <a:prstGeom prst="rect">
                      <a:avLst/>
                    </a:prstGeom>
                    <a:noFill/>
                  </pic:spPr>
                </pic:pic>
              </a:graphicData>
            </a:graphic>
          </wp:inline>
        </w:drawing>
      </w:r>
    </w:p>
    <w:p>
      <w:pPr>
        <w:pStyle w:val="35"/>
        <w:spacing w:line="240" w:lineRule="auto"/>
        <w:ind w:firstLine="0" w:firstLineChars="0"/>
        <w:jc w:val="center"/>
        <w:sectPr>
          <w:pgSz w:w="11906" w:h="16838"/>
          <w:pgMar w:top="1440" w:right="1800" w:bottom="1440" w:left="1800" w:header="851" w:footer="992" w:gutter="0"/>
          <w:cols w:space="425" w:num="1"/>
          <w:docGrid w:type="lines" w:linePitch="312" w:charSpace="0"/>
        </w:sectPr>
      </w:pPr>
    </w:p>
    <w:p>
      <w:pPr>
        <w:pStyle w:val="31"/>
      </w:pPr>
      <w:bookmarkStart w:id="109" w:name="_Toc94283148"/>
      <w:r>
        <w:t>河南省交通运输突发事件应急响应流程</w:t>
      </w:r>
      <w:r>
        <w:rPr>
          <w:rFonts w:hint="eastAsia"/>
        </w:rPr>
        <w:t>图</w:t>
      </w:r>
      <w:bookmarkEnd w:id="109"/>
    </w:p>
    <w:p>
      <w:pPr>
        <w:pStyle w:val="35"/>
        <w:spacing w:line="240" w:lineRule="auto"/>
        <w:ind w:firstLine="0" w:firstLineChars="0"/>
        <w:jc w:val="center"/>
      </w:pPr>
    </w:p>
    <w:p>
      <w:pPr>
        <w:pStyle w:val="35"/>
        <w:spacing w:line="240" w:lineRule="auto"/>
        <w:ind w:firstLine="0" w:firstLineChars="0"/>
        <w:jc w:val="center"/>
      </w:pPr>
    </w:p>
    <w:p>
      <w:pPr>
        <w:pStyle w:val="35"/>
        <w:spacing w:line="240" w:lineRule="auto"/>
        <w:ind w:firstLine="0" w:firstLineChars="0"/>
        <w:jc w:val="center"/>
      </w:pPr>
      <w:r>
        <mc:AlternateContent>
          <mc:Choice Requires="wpg">
            <w:drawing>
              <wp:inline distT="0" distB="0" distL="0" distR="0">
                <wp:extent cx="5925820" cy="6790690"/>
                <wp:effectExtent l="0" t="0" r="17780" b="10795"/>
                <wp:docPr id="90" name="组合 22"/>
                <wp:cNvGraphicFramePr/>
                <a:graphic xmlns:a="http://schemas.openxmlformats.org/drawingml/2006/main">
                  <a:graphicData uri="http://schemas.microsoft.com/office/word/2010/wordprocessingGroup">
                    <wpg:wgp>
                      <wpg:cNvGrpSpPr/>
                      <wpg:grpSpPr>
                        <a:xfrm>
                          <a:off x="0" y="0"/>
                          <a:ext cx="5925820" cy="6790414"/>
                          <a:chOff x="0" y="-63117"/>
                          <a:chExt cx="9407657" cy="10318017"/>
                        </a:xfrm>
                      </wpg:grpSpPr>
                      <wps:wsp>
                        <wps:cNvPr id="91" name="菱形 91"/>
                        <wps:cNvSpPr/>
                        <wps:spPr>
                          <a:xfrm>
                            <a:off x="3345850" y="3734745"/>
                            <a:ext cx="2719129" cy="1008000"/>
                          </a:xfrm>
                          <a:prstGeom prst="diamond">
                            <a:avLst/>
                          </a:prstGeom>
                        </wps:spPr>
                        <wps:style>
                          <a:lnRef idx="2">
                            <a:schemeClr val="dk1"/>
                          </a:lnRef>
                          <a:fillRef idx="1">
                            <a:schemeClr val="lt1"/>
                          </a:fillRef>
                          <a:effectRef idx="0">
                            <a:schemeClr val="dk1"/>
                          </a:effectRef>
                          <a:fontRef idx="minor">
                            <a:schemeClr val="dk1"/>
                          </a:fontRef>
                        </wps:style>
                        <wps:txbx>
                          <w:txbxContent>
                            <w:p>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警情研判</w:t>
                              </w:r>
                            </w:p>
                          </w:txbxContent>
                        </wps:txbx>
                        <wps:bodyPr rtlCol="0" anchor="ctr"/>
                      </wps:wsp>
                      <wps:wsp>
                        <wps:cNvPr id="92" name="菱形 92"/>
                        <wps:cNvSpPr/>
                        <wps:spPr>
                          <a:xfrm>
                            <a:off x="3346619" y="7873913"/>
                            <a:ext cx="2719129" cy="1008000"/>
                          </a:xfrm>
                          <a:prstGeom prst="diamond">
                            <a:avLst/>
                          </a:prstGeom>
                        </wps:spPr>
                        <wps:style>
                          <a:lnRef idx="2">
                            <a:schemeClr val="dk1"/>
                          </a:lnRef>
                          <a:fillRef idx="1">
                            <a:schemeClr val="lt1"/>
                          </a:fillRef>
                          <a:effectRef idx="0">
                            <a:schemeClr val="dk1"/>
                          </a:effectRef>
                          <a:fontRef idx="minor">
                            <a:schemeClr val="dk1"/>
                          </a:fontRef>
                        </wps:style>
                        <wps:txbx>
                          <w:txbxContent>
                            <w:p>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事态研判</w:t>
                              </w:r>
                            </w:p>
                          </w:txbxContent>
                        </wps:txbx>
                        <wps:bodyPr rtlCol="0" anchor="ctr"/>
                      </wps:wsp>
                      <wps:wsp>
                        <wps:cNvPr id="93" name="矩形 93"/>
                        <wps:cNvSpPr/>
                        <wps:spPr>
                          <a:xfrm>
                            <a:off x="0" y="8081775"/>
                            <a:ext cx="2091637" cy="576000"/>
                          </a:xfrm>
                          <a:prstGeom prst="rect">
                            <a:avLst/>
                          </a:prstGeom>
                        </wps:spPr>
                        <wps:style>
                          <a:lnRef idx="2">
                            <a:schemeClr val="dk1"/>
                          </a:lnRef>
                          <a:fillRef idx="1">
                            <a:schemeClr val="lt1"/>
                          </a:fillRef>
                          <a:effectRef idx="0">
                            <a:schemeClr val="dk1"/>
                          </a:effectRef>
                          <a:fontRef idx="minor">
                            <a:schemeClr val="dk1"/>
                          </a:fontRef>
                        </wps:style>
                        <wps:txbx>
                          <w:txbxContent>
                            <w:p>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扩大响应</w:t>
                              </w:r>
                            </w:p>
                          </w:txbxContent>
                        </wps:txbx>
                        <wps:bodyPr rtlCol="0" anchor="ctr"/>
                      </wps:wsp>
                      <wps:wsp>
                        <wps:cNvPr id="94" name="矩形 94"/>
                        <wps:cNvSpPr/>
                        <wps:spPr>
                          <a:xfrm>
                            <a:off x="0" y="6682951"/>
                            <a:ext cx="2091637" cy="576000"/>
                          </a:xfrm>
                          <a:prstGeom prst="rect">
                            <a:avLst/>
                          </a:prstGeom>
                        </wps:spPr>
                        <wps:style>
                          <a:lnRef idx="2">
                            <a:schemeClr val="dk1"/>
                          </a:lnRef>
                          <a:fillRef idx="1">
                            <a:schemeClr val="lt1"/>
                          </a:fillRef>
                          <a:effectRef idx="0">
                            <a:schemeClr val="dk1"/>
                          </a:effectRef>
                          <a:fontRef idx="minor">
                            <a:schemeClr val="dk1"/>
                          </a:fontRef>
                        </wps:style>
                        <wps:txbx>
                          <w:txbxContent>
                            <w:p>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申请增援</w:t>
                              </w:r>
                            </w:p>
                          </w:txbxContent>
                        </wps:txbx>
                        <wps:bodyPr rtlCol="0" anchor="ctr"/>
                      </wps:wsp>
                      <wps:wsp>
                        <wps:cNvPr id="95" name="矩形 95"/>
                        <wps:cNvSpPr/>
                        <wps:spPr>
                          <a:xfrm>
                            <a:off x="3660365" y="6687810"/>
                            <a:ext cx="2091637" cy="576000"/>
                          </a:xfrm>
                          <a:prstGeom prst="rect">
                            <a:avLst/>
                          </a:prstGeom>
                        </wps:spPr>
                        <wps:style>
                          <a:lnRef idx="2">
                            <a:schemeClr val="dk1"/>
                          </a:lnRef>
                          <a:fillRef idx="1">
                            <a:schemeClr val="lt1"/>
                          </a:fillRef>
                          <a:effectRef idx="0">
                            <a:schemeClr val="dk1"/>
                          </a:effectRef>
                          <a:fontRef idx="minor">
                            <a:schemeClr val="dk1"/>
                          </a:fontRef>
                        </wps:style>
                        <wps:txbx>
                          <w:txbxContent>
                            <w:p>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应急处置</w:t>
                              </w:r>
                            </w:p>
                          </w:txbxContent>
                        </wps:txbx>
                        <wps:bodyPr rtlCol="0" anchor="ctr"/>
                      </wps:wsp>
                      <wps:wsp>
                        <wps:cNvPr id="96" name="流程图: 终止 96"/>
                        <wps:cNvSpPr/>
                        <wps:spPr>
                          <a:xfrm>
                            <a:off x="3660364" y="9628278"/>
                            <a:ext cx="2091637" cy="626622"/>
                          </a:xfrm>
                          <a:prstGeom prst="flowChartTerminator">
                            <a:avLst/>
                          </a:prstGeom>
                        </wps:spPr>
                        <wps:style>
                          <a:lnRef idx="2">
                            <a:schemeClr val="dk1"/>
                          </a:lnRef>
                          <a:fillRef idx="1">
                            <a:schemeClr val="lt1"/>
                          </a:fillRef>
                          <a:effectRef idx="0">
                            <a:schemeClr val="dk1"/>
                          </a:effectRef>
                          <a:fontRef idx="minor">
                            <a:schemeClr val="dk1"/>
                          </a:fontRef>
                        </wps:style>
                        <wps:txbx>
                          <w:txbxContent>
                            <w:p>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响应终止</w:t>
                              </w:r>
                            </w:p>
                          </w:txbxContent>
                        </wps:txbx>
                        <wps:bodyPr rtlCol="0" anchor="ctr"/>
                      </wps:wsp>
                      <wps:wsp>
                        <wps:cNvPr id="97" name="矩形 97"/>
                        <wps:cNvSpPr/>
                        <wps:spPr>
                          <a:xfrm>
                            <a:off x="3660365" y="2559343"/>
                            <a:ext cx="2091637" cy="576000"/>
                          </a:xfrm>
                          <a:prstGeom prst="rect">
                            <a:avLst/>
                          </a:prstGeom>
                        </wps:spPr>
                        <wps:style>
                          <a:lnRef idx="2">
                            <a:schemeClr val="dk1"/>
                          </a:lnRef>
                          <a:fillRef idx="1">
                            <a:schemeClr val="lt1"/>
                          </a:fillRef>
                          <a:effectRef idx="0">
                            <a:schemeClr val="dk1"/>
                          </a:effectRef>
                          <a:fontRef idx="minor">
                            <a:schemeClr val="dk1"/>
                          </a:fontRef>
                        </wps:style>
                        <wps:txbx>
                          <w:txbxContent>
                            <w:p>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接警</w:t>
                              </w:r>
                            </w:p>
                          </w:txbxContent>
                        </wps:txbx>
                        <wps:bodyPr rtlCol="0" anchor="ctr"/>
                      </wps:wsp>
                      <wps:wsp>
                        <wps:cNvPr id="98" name="矩形 98"/>
                        <wps:cNvSpPr/>
                        <wps:spPr>
                          <a:xfrm>
                            <a:off x="0" y="3856287"/>
                            <a:ext cx="2091637" cy="792109"/>
                          </a:xfrm>
                          <a:prstGeom prst="rect">
                            <a:avLst/>
                          </a:prstGeom>
                        </wps:spPr>
                        <wps:style>
                          <a:lnRef idx="2">
                            <a:schemeClr val="dk1"/>
                          </a:lnRef>
                          <a:fillRef idx="1">
                            <a:schemeClr val="lt1"/>
                          </a:fillRef>
                          <a:effectRef idx="0">
                            <a:schemeClr val="dk1"/>
                          </a:effectRef>
                          <a:fontRef idx="minor">
                            <a:schemeClr val="dk1"/>
                          </a:fontRef>
                        </wps:style>
                        <wps:txbx>
                          <w:txbxContent>
                            <w:p>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持续监测</w:t>
                              </w:r>
                            </w:p>
                            <w:p>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采取防御响应</w:t>
                              </w:r>
                            </w:p>
                          </w:txbxContent>
                        </wps:txbx>
                        <wps:bodyPr rtlCol="0" anchor="ctr"/>
                      </wps:wsp>
                      <wps:wsp>
                        <wps:cNvPr id="99" name="矩形 99"/>
                        <wps:cNvSpPr/>
                        <wps:spPr>
                          <a:xfrm>
                            <a:off x="7316020" y="9629175"/>
                            <a:ext cx="2091637" cy="576000"/>
                          </a:xfrm>
                          <a:prstGeom prst="rect">
                            <a:avLst/>
                          </a:prstGeom>
                        </wps:spPr>
                        <wps:style>
                          <a:lnRef idx="2">
                            <a:schemeClr val="dk1"/>
                          </a:lnRef>
                          <a:fillRef idx="1">
                            <a:schemeClr val="lt1"/>
                          </a:fillRef>
                          <a:effectRef idx="0">
                            <a:schemeClr val="dk1"/>
                          </a:effectRef>
                          <a:fontRef idx="minor">
                            <a:schemeClr val="dk1"/>
                          </a:fontRef>
                        </wps:style>
                        <wps:txbx>
                          <w:txbxContent>
                            <w:p>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善后工作</w:t>
                              </w:r>
                            </w:p>
                          </w:txbxContent>
                        </wps:txbx>
                        <wps:bodyPr rtlCol="0" anchor="ctr"/>
                      </wps:wsp>
                      <wps:wsp>
                        <wps:cNvPr id="100" name="矩形 100"/>
                        <wps:cNvSpPr/>
                        <wps:spPr>
                          <a:xfrm>
                            <a:off x="1987655" y="1230238"/>
                            <a:ext cx="2091637" cy="576000"/>
                          </a:xfrm>
                          <a:prstGeom prst="rect">
                            <a:avLst/>
                          </a:prstGeom>
                        </wps:spPr>
                        <wps:style>
                          <a:lnRef idx="2">
                            <a:schemeClr val="dk1"/>
                          </a:lnRef>
                          <a:fillRef idx="1">
                            <a:schemeClr val="lt1"/>
                          </a:fillRef>
                          <a:effectRef idx="0">
                            <a:schemeClr val="dk1"/>
                          </a:effectRef>
                          <a:fontRef idx="minor">
                            <a:schemeClr val="dk1"/>
                          </a:fontRef>
                        </wps:style>
                        <wps:txbx>
                          <w:txbxContent>
                            <w:p>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监测预警</w:t>
                              </w:r>
                            </w:p>
                          </w:txbxContent>
                        </wps:txbx>
                        <wps:bodyPr rtlCol="0" anchor="ctr"/>
                      </wps:wsp>
                      <wps:wsp>
                        <wps:cNvPr id="101" name="矩形 101"/>
                        <wps:cNvSpPr/>
                        <wps:spPr>
                          <a:xfrm>
                            <a:off x="5329952" y="1230238"/>
                            <a:ext cx="2091637" cy="576000"/>
                          </a:xfrm>
                          <a:prstGeom prst="rect">
                            <a:avLst/>
                          </a:prstGeom>
                        </wps:spPr>
                        <wps:style>
                          <a:lnRef idx="2">
                            <a:schemeClr val="dk1"/>
                          </a:lnRef>
                          <a:fillRef idx="1">
                            <a:schemeClr val="lt1"/>
                          </a:fillRef>
                          <a:effectRef idx="0">
                            <a:schemeClr val="dk1"/>
                          </a:effectRef>
                          <a:fontRef idx="minor">
                            <a:schemeClr val="dk1"/>
                          </a:fontRef>
                        </wps:style>
                        <wps:txbx>
                          <w:txbxContent>
                            <w:p>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事发单位报告</w:t>
                              </w:r>
                            </w:p>
                          </w:txbxContent>
                        </wps:txbx>
                        <wps:bodyPr rtlCol="0" anchor="ctr"/>
                      </wps:wsp>
                      <wps:wsp>
                        <wps:cNvPr id="102" name="连接符: 肘形 102"/>
                        <wps:cNvCnPr/>
                        <wps:spPr>
                          <a:xfrm rot="5400000">
                            <a:off x="3541929" y="67545"/>
                            <a:ext cx="654238" cy="1671148"/>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wps:wsp>
                        <wps:cNvPr id="103" name="连接符: 肘形 103"/>
                        <wps:cNvCnPr/>
                        <wps:spPr>
                          <a:xfrm rot="16200000" flipH="1">
                            <a:off x="5213077" y="67544"/>
                            <a:ext cx="654238" cy="1671149"/>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wps:wsp>
                        <wps:cNvPr id="104" name="连接符: 肘形 104"/>
                        <wps:cNvCnPr/>
                        <wps:spPr>
                          <a:xfrm rot="16200000" flipH="1">
                            <a:off x="3493277" y="1346435"/>
                            <a:ext cx="753105" cy="1672710"/>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wps:wsp>
                        <wps:cNvPr id="105" name="连接符: 肘形 105"/>
                        <wps:cNvCnPr/>
                        <wps:spPr>
                          <a:xfrm rot="5400000">
                            <a:off x="5164426" y="1347997"/>
                            <a:ext cx="753105" cy="1669587"/>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wps:wsp>
                        <wps:cNvPr id="106" name="直接箭头连接符 106"/>
                        <wps:cNvCnPr/>
                        <wps:spPr>
                          <a:xfrm flipH="1">
                            <a:off x="4705415" y="3135343"/>
                            <a:ext cx="769" cy="59940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07" name="直接箭头连接符 107"/>
                        <wps:cNvCnPr/>
                        <wps:spPr>
                          <a:xfrm>
                            <a:off x="4706184" y="7263810"/>
                            <a:ext cx="0" cy="61010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08" name="直接箭头连接符 108"/>
                        <wps:cNvCnPr/>
                        <wps:spPr>
                          <a:xfrm>
                            <a:off x="4706184" y="8881913"/>
                            <a:ext cx="0" cy="74726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09" name="直接箭头连接符 109"/>
                        <wps:cNvCnPr/>
                        <wps:spPr>
                          <a:xfrm flipH="1" flipV="1">
                            <a:off x="2091637" y="8369775"/>
                            <a:ext cx="1254982" cy="813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10" name="直接箭头连接符 110"/>
                        <wps:cNvCnPr/>
                        <wps:spPr>
                          <a:xfrm flipV="1">
                            <a:off x="1045819" y="7258951"/>
                            <a:ext cx="0" cy="82282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11" name="直接箭头连接符 111"/>
                        <wps:cNvCnPr/>
                        <wps:spPr>
                          <a:xfrm>
                            <a:off x="2091637" y="6970951"/>
                            <a:ext cx="1568728" cy="485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12" name="直接箭头连接符 112"/>
                        <wps:cNvCnPr/>
                        <wps:spPr>
                          <a:xfrm>
                            <a:off x="5752002" y="9917175"/>
                            <a:ext cx="1564018"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13" name="文本框 93"/>
                        <wps:cNvSpPr txBox="1"/>
                        <wps:spPr>
                          <a:xfrm>
                            <a:off x="1920070" y="3842442"/>
                            <a:ext cx="1513169" cy="773214"/>
                          </a:xfrm>
                          <a:prstGeom prst="rect">
                            <a:avLst/>
                          </a:prstGeom>
                          <a:noFill/>
                        </wps:spPr>
                        <wps:txbx>
                          <w:txbxContent>
                            <w:p>
                              <w:pPr>
                                <w:adjustRightInd w:val="0"/>
                                <w:snapToGrid w:val="0"/>
                                <w:jc w:val="center"/>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未达响应</w:t>
                              </w:r>
                            </w:p>
                            <w:p>
                              <w:pPr>
                                <w:adjustRightInd w:val="0"/>
                                <w:snapToGrid w:val="0"/>
                                <w:jc w:val="center"/>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启动条件</w:t>
                              </w:r>
                            </w:p>
                          </w:txbxContent>
                        </wps:txbx>
                        <wps:bodyPr wrap="square" rtlCol="0">
                          <a:noAutofit/>
                        </wps:bodyPr>
                      </wps:wsp>
                      <wps:wsp>
                        <wps:cNvPr id="114" name="文本框 103"/>
                        <wps:cNvSpPr txBox="1"/>
                        <wps:spPr>
                          <a:xfrm>
                            <a:off x="2091637" y="7985582"/>
                            <a:ext cx="1458731" cy="773214"/>
                          </a:xfrm>
                          <a:prstGeom prst="rect">
                            <a:avLst/>
                          </a:prstGeom>
                          <a:noFill/>
                        </wps:spPr>
                        <wps:txbx>
                          <w:txbxContent>
                            <w:p>
                              <w:pPr>
                                <w:adjustRightInd w:val="0"/>
                                <w:snapToGrid w:val="0"/>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突发事件</w:t>
                              </w:r>
                            </w:p>
                            <w:p>
                              <w:pPr>
                                <w:adjustRightInd w:val="0"/>
                                <w:snapToGrid w:val="0"/>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难以控制</w:t>
                              </w:r>
                            </w:p>
                          </w:txbxContent>
                        </wps:txbx>
                        <wps:bodyPr wrap="square" rtlCol="0">
                          <a:noAutofit/>
                        </wps:bodyPr>
                      </wps:wsp>
                      <wps:wsp>
                        <wps:cNvPr id="115" name="文本框 104"/>
                        <wps:cNvSpPr txBox="1"/>
                        <wps:spPr>
                          <a:xfrm>
                            <a:off x="4684911" y="8881915"/>
                            <a:ext cx="1727896" cy="773214"/>
                          </a:xfrm>
                          <a:prstGeom prst="rect">
                            <a:avLst/>
                          </a:prstGeom>
                          <a:noFill/>
                        </wps:spPr>
                        <wps:txbx>
                          <w:txbxContent>
                            <w:p>
                              <w:pPr>
                                <w:adjustRightInd w:val="0"/>
                                <w:snapToGrid w:val="0"/>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突发事件</w:t>
                              </w:r>
                            </w:p>
                            <w:p>
                              <w:pPr>
                                <w:adjustRightInd w:val="0"/>
                                <w:snapToGrid w:val="0"/>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得到处置</w:t>
                              </w:r>
                            </w:p>
                          </w:txbxContent>
                        </wps:txbx>
                        <wps:bodyPr wrap="square" rtlCol="0">
                          <a:noAutofit/>
                        </wps:bodyPr>
                      </wps:wsp>
                      <wps:wsp>
                        <wps:cNvPr id="116" name="矩形 116"/>
                        <wps:cNvSpPr/>
                        <wps:spPr>
                          <a:xfrm>
                            <a:off x="3659596" y="5395393"/>
                            <a:ext cx="2091637" cy="576000"/>
                          </a:xfrm>
                          <a:prstGeom prst="rect">
                            <a:avLst/>
                          </a:prstGeom>
                        </wps:spPr>
                        <wps:style>
                          <a:lnRef idx="2">
                            <a:schemeClr val="dk1"/>
                          </a:lnRef>
                          <a:fillRef idx="1">
                            <a:schemeClr val="lt1"/>
                          </a:fillRef>
                          <a:effectRef idx="0">
                            <a:schemeClr val="dk1"/>
                          </a:effectRef>
                          <a:fontRef idx="minor">
                            <a:schemeClr val="dk1"/>
                          </a:fontRef>
                        </wps:style>
                        <wps:txbx>
                          <w:txbxContent>
                            <w:p>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启动响应</w:t>
                              </w:r>
                            </w:p>
                          </w:txbxContent>
                        </wps:txbx>
                        <wps:bodyPr rtlCol="0" anchor="ctr"/>
                      </wps:wsp>
                      <wps:wsp>
                        <wps:cNvPr id="117" name="直接箭头连接符 117"/>
                        <wps:cNvCnPr/>
                        <wps:spPr>
                          <a:xfrm>
                            <a:off x="4705415" y="4742745"/>
                            <a:ext cx="0" cy="65264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18" name="直接箭头连接符 118"/>
                        <wps:cNvCnPr/>
                        <wps:spPr>
                          <a:xfrm>
                            <a:off x="4705415" y="5971393"/>
                            <a:ext cx="769" cy="71641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19" name="文本框 49"/>
                        <wps:cNvSpPr txBox="1"/>
                        <wps:spPr>
                          <a:xfrm>
                            <a:off x="4765390" y="4648390"/>
                            <a:ext cx="1583737" cy="773214"/>
                          </a:xfrm>
                          <a:prstGeom prst="rect">
                            <a:avLst/>
                          </a:prstGeom>
                          <a:noFill/>
                        </wps:spPr>
                        <wps:txbx>
                          <w:txbxContent>
                            <w:p>
                              <w:pPr>
                                <w:adjustRightInd w:val="0"/>
                                <w:snapToGrid w:val="0"/>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达到响应</w:t>
                              </w:r>
                            </w:p>
                            <w:p>
                              <w:pPr>
                                <w:adjustRightInd w:val="0"/>
                                <w:snapToGrid w:val="0"/>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启动条件</w:t>
                              </w:r>
                            </w:p>
                          </w:txbxContent>
                        </wps:txbx>
                        <wps:bodyPr wrap="square" rtlCol="0">
                          <a:noAutofit/>
                        </wps:bodyPr>
                      </wps:wsp>
                      <wps:wsp>
                        <wps:cNvPr id="120" name="流程图: 终止 120"/>
                        <wps:cNvSpPr/>
                        <wps:spPr>
                          <a:xfrm>
                            <a:off x="3658802" y="-63117"/>
                            <a:ext cx="2091637" cy="639106"/>
                          </a:xfrm>
                          <a:prstGeom prst="flowChartTerminator">
                            <a:avLst/>
                          </a:prstGeom>
                        </wps:spPr>
                        <wps:style>
                          <a:lnRef idx="2">
                            <a:schemeClr val="dk1"/>
                          </a:lnRef>
                          <a:fillRef idx="1">
                            <a:schemeClr val="lt1"/>
                          </a:fillRef>
                          <a:effectRef idx="0">
                            <a:schemeClr val="dk1"/>
                          </a:effectRef>
                          <a:fontRef idx="minor">
                            <a:schemeClr val="dk1"/>
                          </a:fontRef>
                        </wps:style>
                        <wps:txbx>
                          <w:txbxContent>
                            <w:p>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突发事件</w:t>
                              </w:r>
                            </w:p>
                          </w:txbxContent>
                        </wps:txbx>
                        <wps:bodyPr rtlCol="0" anchor="ctr"/>
                      </wps:wsp>
                      <wps:wsp>
                        <wps:cNvPr id="121" name="矩形 121"/>
                        <wps:cNvSpPr/>
                        <wps:spPr>
                          <a:xfrm>
                            <a:off x="7316019" y="2559343"/>
                            <a:ext cx="2091637" cy="576000"/>
                          </a:xfrm>
                          <a:prstGeom prst="rect">
                            <a:avLst/>
                          </a:prstGeom>
                        </wps:spPr>
                        <wps:style>
                          <a:lnRef idx="2">
                            <a:schemeClr val="dk1"/>
                          </a:lnRef>
                          <a:fillRef idx="1">
                            <a:schemeClr val="lt1"/>
                          </a:fillRef>
                          <a:effectRef idx="0">
                            <a:schemeClr val="dk1"/>
                          </a:effectRef>
                          <a:fontRef idx="minor">
                            <a:schemeClr val="dk1"/>
                          </a:fontRef>
                        </wps:style>
                        <wps:txbx>
                          <w:txbxContent>
                            <w:p>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先期处置</w:t>
                              </w:r>
                            </w:p>
                          </w:txbxContent>
                        </wps:txbx>
                        <wps:bodyPr rtlCol="0" anchor="ctr"/>
                      </wps:wsp>
                      <wps:wsp>
                        <wps:cNvPr id="122" name="连接符: 肘形 122"/>
                        <wps:cNvCnPr>
                          <a:stCxn id="98" idx="0"/>
                        </wps:cNvCnPr>
                        <wps:spPr>
                          <a:xfrm rot="5400000" flipH="1" flipV="1">
                            <a:off x="1848598" y="2044382"/>
                            <a:ext cx="1008920" cy="2614478"/>
                          </a:xfrm>
                          <a:prstGeom prst="bentConnector2">
                            <a:avLst/>
                          </a:prstGeom>
                          <a:ln>
                            <a:tailEnd type="triangle"/>
                          </a:ln>
                        </wps:spPr>
                        <wps:style>
                          <a:lnRef idx="2">
                            <a:schemeClr val="dk1"/>
                          </a:lnRef>
                          <a:fillRef idx="0">
                            <a:schemeClr val="dk1"/>
                          </a:fillRef>
                          <a:effectRef idx="1">
                            <a:schemeClr val="dk1"/>
                          </a:effectRef>
                          <a:fontRef idx="minor">
                            <a:schemeClr val="tx1"/>
                          </a:fontRef>
                        </wps:style>
                        <wps:bodyPr/>
                      </wps:wsp>
                      <wps:wsp>
                        <wps:cNvPr id="123" name="直接箭头连接符 123"/>
                        <wps:cNvCnPr/>
                        <wps:spPr>
                          <a:xfrm flipH="1">
                            <a:off x="2091637" y="4238745"/>
                            <a:ext cx="1254213"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24" name="连接符: 肘形 124"/>
                        <wps:cNvCnPr/>
                        <wps:spPr>
                          <a:xfrm rot="16200000" flipH="1">
                            <a:off x="6992252" y="1189756"/>
                            <a:ext cx="753105" cy="1986067"/>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inline>
            </w:drawing>
          </mc:Choice>
          <mc:Fallback>
            <w:pict>
              <v:group id="组合 22" o:spid="_x0000_s1026" o:spt="203" style="height:534.7pt;width:466.6pt;" coordorigin="0,-63117" coordsize="9407657,10318017" o:gfxdata="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">
                <o:lock v:ext="edit" aspectratio="f"/>
                <v:shape id="_x0000_s1026" o:spid="_x0000_s1026" o:spt="4" type="#_x0000_t4" style="position:absolute;left:3345850;top:3734745;height:1008000;width:2719129;v-text-anchor:middle;" fillcolor="#FFFFFF [3201]" filled="t" stroked="t" coordsize="21600,21600" o:gfxdata="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BGL+ruQAAANsAAAAPAAAAAAAAAAEAIAAAADgAAABkcnMvZG93bnJldi54bWxQ&#10;SwECFAAUAAAACACHTuJAMy8FnjsAAAA5AAAAEAAAAAAAAAABACAAAAAeAQAAZHJzL3NoYXBleG1s&#10;LnhtbFBLBQYAAAAABgAGAFsBAADIAwAAAAA=&#10;">
                  <v:fill on="t" focussize="0,0"/>
                  <v:stroke weight="1pt" color="#000000 [3200]" miterlimit="8" joinstyle="miter"/>
                  <v:imagedata o:title=""/>
                  <o:lock v:ext="edit" aspectratio="f"/>
                  <v:textbox>
                    <w:txbxContent>
                      <w:p>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警情研判</w:t>
                        </w:r>
                      </w:p>
                    </w:txbxContent>
                  </v:textbox>
                </v:shape>
                <v:shape id="_x0000_s1026" o:spid="_x0000_s1026" o:spt="4" type="#_x0000_t4" style="position:absolute;left:3346619;top:7873913;height:1008000;width:2719129;v-text-anchor:middle;" fillcolor="#FFFFFF [3201]" filled="t" stroked="t" coordsize="21600,21600" o:gfxdata="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xyiHcuQAAANsAAAAPAAAAAAAAAAEAIAAAADgAAABkcnMvZG93bnJldi54bWxQ&#10;SwECFAAUAAAACACHTuJAMy8FnjsAAAA5AAAAEAAAAAAAAAABACAAAAAeAQAAZHJzL3NoYXBleG1s&#10;LnhtbFBLBQYAAAAABgAGAFsBAADIAwAAAAA=&#10;">
                  <v:fill on="t" focussize="0,0"/>
                  <v:stroke weight="1pt" color="#000000 [3200]" miterlimit="8" joinstyle="miter"/>
                  <v:imagedata o:title=""/>
                  <o:lock v:ext="edit" aspectratio="f"/>
                  <v:textbox>
                    <w:txbxContent>
                      <w:p>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事态研判</w:t>
                        </w:r>
                      </w:p>
                    </w:txbxContent>
                  </v:textbox>
                </v:shape>
                <v:rect id="_x0000_s1026" o:spid="_x0000_s1026" o:spt="1" style="position:absolute;left:0;top:8081775;height:576000;width:2091637;v-text-anchor:middle;" fillcolor="#FFFFFF [3201]" filled="t" stroked="t" coordsize="21600,21600" o:gfxdata="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JZWfDL0AAADbAAAADwAAAAAAAAABACAAAAA4AAAAZHJzL2Rvd25yZXYu&#10;eG1sUEsBAhQAFAAAAAgAh07iQDMvBZ47AAAAOQAAABAAAAAAAAAAAQAgAAAAIgEAAGRycy9zaGFw&#10;ZXhtbC54bWxQSwUGAAAAAAYABgBbAQAAzAMAAAAA&#10;">
                  <v:fill on="t" focussize="0,0"/>
                  <v:stroke weight="1pt" color="#000000 [3200]" miterlimit="8" joinstyle="miter"/>
                  <v:imagedata o:title=""/>
                  <o:lock v:ext="edit" aspectratio="f"/>
                  <v:textbox>
                    <w:txbxContent>
                      <w:p>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扩大响应</w:t>
                        </w:r>
                      </w:p>
                    </w:txbxContent>
                  </v:textbox>
                </v:rect>
                <v:rect id="_x0000_s1026" o:spid="_x0000_s1026" o:spt="1" style="position:absolute;left:0;top:6682951;height:576000;width:2091637;v-text-anchor:middle;" fillcolor="#FFFFFF [3201]" filled="t" stroked="t" coordsize="21600,21600" o:gfxdata="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qnwHeL0AAADbAAAADwAAAAAAAAABACAAAAA4AAAAZHJzL2Rvd25yZXYu&#10;eG1sUEsBAhQAFAAAAAgAh07iQDMvBZ47AAAAOQAAABAAAAAAAAAAAQAgAAAAIgEAAGRycy9zaGFw&#10;ZXhtbC54bWxQSwUGAAAAAAYABgBbAQAAzAMAAAAA&#10;">
                  <v:fill on="t" focussize="0,0"/>
                  <v:stroke weight="1pt" color="#000000 [3200]" miterlimit="8" joinstyle="miter"/>
                  <v:imagedata o:title=""/>
                  <o:lock v:ext="edit" aspectratio="f"/>
                  <v:textbox>
                    <w:txbxContent>
                      <w:p>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申请增援</w:t>
                        </w:r>
                      </w:p>
                    </w:txbxContent>
                  </v:textbox>
                </v:rect>
                <v:rect id="_x0000_s1026" o:spid="_x0000_s1026" o:spt="1" style="position:absolute;left:3660365;top:6687810;height:576000;width:2091637;v-text-anchor:middle;" fillcolor="#FFFFFF [3201]" filled="t" stroked="t" coordsize="21600,21600" o:gfxdata="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xTCi470AAADbAAAADwAAAAAAAAABACAAAAA4AAAAZHJzL2Rvd25yZXYu&#10;eG1sUEsBAhQAFAAAAAgAh07iQDMvBZ47AAAAOQAAABAAAAAAAAAAAQAgAAAAIgEAAGRycy9zaGFw&#10;ZXhtbC54bWxQSwUGAAAAAAYABgBbAQAAzAMAAAAA&#10;">
                  <v:fill on="t" focussize="0,0"/>
                  <v:stroke weight="1pt" color="#000000 [3200]" miterlimit="8" joinstyle="miter"/>
                  <v:imagedata o:title=""/>
                  <o:lock v:ext="edit" aspectratio="f"/>
                  <v:textbox>
                    <w:txbxContent>
                      <w:p>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应急处置</w:t>
                        </w:r>
                      </w:p>
                    </w:txbxContent>
                  </v:textbox>
                </v:rect>
                <v:shape id="_x0000_s1026" o:spid="_x0000_s1026" o:spt="116" type="#_x0000_t116" style="position:absolute;left:3660364;top:9628278;height:626622;width:2091637;v-text-anchor:middle;" fillcolor="#FFFFFF [3201]" filled="t" stroked="t" coordsize="21600,21600" o:gfxdata="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szsUO+AAAA2wAAAA8AAAAAAAAAAQAgAAAAOAAAAGRycy9kb3ducmV2&#10;LnhtbFBLAQIUABQAAAAIAIdO4kAzLwWeOwAAADkAAAAQAAAAAAAAAAEAIAAAACMBAABkcnMvc2hh&#10;cGV4bWwueG1sUEsFBgAAAAAGAAYAWwEAAM0DAAAAAA==&#10;">
                  <v:fill on="t" focussize="0,0"/>
                  <v:stroke weight="1pt" color="#000000 [3200]" miterlimit="8" joinstyle="miter"/>
                  <v:imagedata o:title=""/>
                  <o:lock v:ext="edit" aspectratio="f"/>
                  <v:textbox>
                    <w:txbxContent>
                      <w:p>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响应终止</w:t>
                        </w:r>
                      </w:p>
                    </w:txbxContent>
                  </v:textbox>
                </v:shape>
                <v:rect id="_x0000_s1026" o:spid="_x0000_s1026" o:spt="1" style="position:absolute;left:3660365;top:2559343;height:576000;width:2091637;v-text-anchor:middle;" fillcolor="#FFFFFF [3201]" filled="t" stroked="t" coordsize="21600,21600" o:gfxdata="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q6ZD70AAADbAAAADwAAAAAAAAABACAAAAA4AAAAZHJzL2Rvd25yZXYu&#10;eG1sUEsBAhQAFAAAAAgAh07iQDMvBZ47AAAAOQAAABAAAAAAAAAAAQAgAAAAIgEAAGRycy9zaGFw&#10;ZXhtbC54bWxQSwUGAAAAAAYABgBbAQAAzAMAAAAA&#10;">
                  <v:fill on="t" focussize="0,0"/>
                  <v:stroke weight="1pt" color="#000000 [3200]" miterlimit="8" joinstyle="miter"/>
                  <v:imagedata o:title=""/>
                  <o:lock v:ext="edit" aspectratio="f"/>
                  <v:textbox>
                    <w:txbxContent>
                      <w:p>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接警</w:t>
                        </w:r>
                      </w:p>
                    </w:txbxContent>
                  </v:textbox>
                </v:rect>
                <v:rect id="_x0000_s1026" o:spid="_x0000_s1026" o:spt="1" style="position:absolute;left:0;top:3856287;height:792109;width:2091637;v-text-anchor:middle;" fillcolor="#FFFFFF [3201]" filled="t" stroked="t" coordsize="21600,21600" o:gfxdata="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rMQ19uQAAANsAAAAPAAAAAAAAAAEAIAAAADgAAABkcnMvZG93bnJldi54bWxQ&#10;SwECFAAUAAAACACHTuJAMy8FnjsAAAA5AAAAEAAAAAAAAAABACAAAAAeAQAAZHJzL3NoYXBleG1s&#10;LnhtbFBLBQYAAAAABgAGAFsBAADIAwAAAAA=&#10;">
                  <v:fill on="t" focussize="0,0"/>
                  <v:stroke weight="1pt" color="#000000 [3200]" miterlimit="8" joinstyle="miter"/>
                  <v:imagedata o:title=""/>
                  <o:lock v:ext="edit" aspectratio="f"/>
                  <v:textbox>
                    <w:txbxContent>
                      <w:p>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持续监测</w:t>
                        </w:r>
                      </w:p>
                      <w:p>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采取防御响应</w:t>
                        </w:r>
                      </w:p>
                    </w:txbxContent>
                  </v:textbox>
                </v:rect>
                <v:rect id="_x0000_s1026" o:spid="_x0000_s1026" o:spt="1" style="position:absolute;left:7316020;top:9629175;height:576000;width:2091637;v-text-anchor:middle;" fillcolor="#FFFFFF [3201]" filled="t" stroked="t" coordsize="21600,21600" o:gfxdata="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RH2o5r0AAADbAAAADwAAAAAAAAABACAAAAA4AAAAZHJzL2Rvd25yZXYu&#10;eG1sUEsBAhQAFAAAAAgAh07iQDMvBZ47AAAAOQAAABAAAAAAAAAAAQAgAAAAIgEAAGRycy9zaGFw&#10;ZXhtbC54bWxQSwUGAAAAAAYABgBbAQAAzAMAAAAA&#10;">
                  <v:fill on="t" focussize="0,0"/>
                  <v:stroke weight="1pt" color="#000000 [3200]" miterlimit="8" joinstyle="miter"/>
                  <v:imagedata o:title=""/>
                  <o:lock v:ext="edit" aspectratio="f"/>
                  <v:textbox>
                    <w:txbxContent>
                      <w:p>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善后工作</w:t>
                        </w:r>
                      </w:p>
                    </w:txbxContent>
                  </v:textbox>
                </v:rect>
                <v:rect id="_x0000_s1026" o:spid="_x0000_s1026" o:spt="1" style="position:absolute;left:1987655;top:1230238;height:576000;width:2091637;v-text-anchor:middle;" fillcolor="#FFFFFF [3201]" filled="t" stroked="t" coordsize="21600,21600" o:gfxdata="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maGgR70AAADcAAAADwAAAAAAAAABACAAAAA4AAAAZHJzL2Rvd25yZXYu&#10;eG1sUEsBAhQAFAAAAAgAh07iQDMvBZ47AAAAOQAAABAAAAAAAAAAAQAgAAAAIgEAAGRycy9zaGFw&#10;ZXhtbC54bWxQSwUGAAAAAAYABgBbAQAAzAMAAAAA&#10;">
                  <v:fill on="t" focussize="0,0"/>
                  <v:stroke weight="1pt" color="#000000 [3200]" miterlimit="8" joinstyle="miter"/>
                  <v:imagedata o:title=""/>
                  <o:lock v:ext="edit" aspectratio="f"/>
                  <v:textbox>
                    <w:txbxContent>
                      <w:p>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监测预警</w:t>
                        </w:r>
                      </w:p>
                    </w:txbxContent>
                  </v:textbox>
                </v:rect>
                <v:rect id="_x0000_s1026" o:spid="_x0000_s1026" o:spt="1" style="position:absolute;left:5329952;top:1230238;height:576000;width:2091637;v-text-anchor:middle;" fillcolor="#FFFFFF [3201]" filled="t" stroked="t" coordsize="21600,21600" o:gfxdata="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27QXcuQAAANwAAAAPAAAAAAAAAAEAIAAAADgAAABkcnMvZG93bnJldi54bWxQ&#10;SwECFAAUAAAACACHTuJAMy8FnjsAAAA5AAAAEAAAAAAAAAABACAAAAAeAQAAZHJzL3NoYXBleG1s&#10;LnhtbFBLBQYAAAAABgAGAFsBAADIAwAAAAA=&#10;">
                  <v:fill on="t" focussize="0,0"/>
                  <v:stroke weight="1pt" color="#000000 [3200]" miterlimit="8" joinstyle="miter"/>
                  <v:imagedata o:title=""/>
                  <o:lock v:ext="edit" aspectratio="f"/>
                  <v:textbox>
                    <w:txbxContent>
                      <w:p>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事发单位报告</w:t>
                        </w:r>
                      </w:p>
                    </w:txbxContent>
                  </v:textbox>
                </v:rect>
                <v:shape id="连接符: 肘形 102" o:spid="_x0000_s1026" o:spt="34" type="#_x0000_t34" style="position:absolute;left:3541929;top:67545;height:1671148;width:654238;rotation:5898240f;" filled="f" stroked="t" coordsize="21600,21600" o:gfxdata="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KBe2kC7AAAA3AAAAA8AAAAAAAAAAQAgAAAAOAAAAGRycy9kb3ducmV2Lnht&#10;bFBLAQIUABQAAAAIAIdO4kAzLwWeOwAAADkAAAAQAAAAAAAAAAEAIAAAACABAABkcnMvc2hhcGV4&#10;bWwueG1sUEsFBgAAAAAGAAYAWwEAAMoDAAAAAA==&#10;" adj="10800">
                  <v:fill on="f" focussize="0,0"/>
                  <v:stroke weight="1pt" color="#000000 [3200]" miterlimit="8" joinstyle="miter" endarrow="block"/>
                  <v:imagedata o:title=""/>
                  <o:lock v:ext="edit" aspectratio="f"/>
                </v:shape>
                <v:shape id="连接符: 肘形 103" o:spid="_x0000_s1026" o:spt="34" type="#_x0000_t34" style="position:absolute;left:5213077;top:67544;flip:x;height:1671149;width:654238;rotation:5898240f;" filled="f" stroked="t" coordsize="21600,21600" o:gfxdata="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3HQK47oAAADcAAAADwAAAAAAAAABACAAAAA4AAAAZHJzL2Rvd25yZXYueG1s&#10;UEsBAhQAFAAAAAgAh07iQDMvBZ47AAAAOQAAABAAAAAAAAAAAQAgAAAAHwEAAGRycy9zaGFwZXht&#10;bC54bWxQSwUGAAAAAAYABgBbAQAAyQMAAAAA&#10;" adj="10800">
                  <v:fill on="f" focussize="0,0"/>
                  <v:stroke weight="1pt" color="#000000 [3200]" miterlimit="8" joinstyle="miter" endarrow="block"/>
                  <v:imagedata o:title=""/>
                  <o:lock v:ext="edit" aspectratio="f"/>
                </v:shape>
                <v:shape id="连接符: 肘形 104" o:spid="_x0000_s1026" o:spt="34" type="#_x0000_t34" style="position:absolute;left:3493277;top:1346435;flip:x;height:1672710;width:753105;rotation:5898240f;" filled="f" stroked="t" coordsize="21600,21600" o:gfxdata="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FOdkpe7AAAA3AAAAA8AAAAAAAAAAQAgAAAAOAAAAGRycy9kb3ducmV2Lnht&#10;bFBLAQIUABQAAAAIAIdO4kAzLwWeOwAAADkAAAAQAAAAAAAAAAEAIAAAACABAABkcnMvc2hhcGV4&#10;bWwueG1sUEsFBgAAAAAGAAYAWwEAAMoDAAAAAA==&#10;" adj="10800">
                  <v:fill on="f" focussize="0,0"/>
                  <v:stroke weight="1pt" color="#000000 [3200]" miterlimit="8" joinstyle="miter" endarrow="block"/>
                  <v:imagedata o:title=""/>
                  <o:lock v:ext="edit" aspectratio="f"/>
                </v:shape>
                <v:shape id="连接符: 肘形 105" o:spid="_x0000_s1026" o:spt="34" type="#_x0000_t34" style="position:absolute;left:5164426;top:1347997;height:1669587;width:753105;rotation:5898240f;" filled="f" stroked="t" coordsize="21600,21600" o:gfxdata="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C+3QjS7AAAA3AAAAA8AAAAAAAAAAQAgAAAAOAAAAGRycy9kb3ducmV2Lnht&#10;bFBLAQIUABQAAAAIAIdO4kAzLwWeOwAAADkAAAAQAAAAAAAAAAEAIAAAACABAABkcnMvc2hhcGV4&#10;bWwueG1sUEsFBgAAAAAGAAYAWwEAAMoDAAAAAA==&#10;" adj="10800">
                  <v:fill on="f" focussize="0,0"/>
                  <v:stroke weight="1pt" color="#000000 [3200]" miterlimit="8" joinstyle="miter" endarrow="block"/>
                  <v:imagedata o:title=""/>
                  <o:lock v:ext="edit" aspectratio="f"/>
                </v:shape>
                <v:shape id="_x0000_s1026" o:spid="_x0000_s1026" o:spt="32" type="#_x0000_t32" style="position:absolute;left:4705415;top:3135343;flip:x;height:599402;width:769;" filled="f" stroked="t" coordsize="21600,21600" o:gfxdata="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JqpHEq7AAAA3AAAAA8AAAAAAAAAAQAgAAAAOAAAAGRycy9kb3ducmV2Lnht&#10;bFBLAQIUABQAAAAIAIdO4kAzLwWeOwAAADkAAAAQAAAAAAAAAAEAIAAAACABAABkcnMvc2hhcGV4&#10;bWwueG1sUEsFBgAAAAAGAAYAWwEAAMoDAAAAAA==&#10;">
                  <v:fill on="f" focussize="0,0"/>
                  <v:stroke weight="1pt" color="#000000 [3200]" miterlimit="8" joinstyle="miter" endarrow="block"/>
                  <v:imagedata o:title=""/>
                  <o:lock v:ext="edit" aspectratio="f"/>
                </v:shape>
                <v:shape id="_x0000_s1026" o:spid="_x0000_s1026" o:spt="32" type="#_x0000_t32" style="position:absolute;left:4706184;top:7263810;height:610103;width:0;" filled="f" stroked="t" coordsize="21600,21600" o:gfxdata="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ibuP+vAAAANwAAAAPAAAAAAAAAAEAIAAAADgAAABkcnMvZG93bnJldi54&#10;bWxQSwECFAAUAAAACACHTuJAMy8FnjsAAAA5AAAAEAAAAAAAAAABACAAAAAhAQAAZHJzL3NoYXBl&#10;eG1sLnhtbFBLBQYAAAAABgAGAFsBAADLAwAAAAA=&#10;">
                  <v:fill on="f" focussize="0,0"/>
                  <v:stroke weight="1pt" color="#000000 [3200]" miterlimit="8" joinstyle="miter" endarrow="block"/>
                  <v:imagedata o:title=""/>
                  <o:lock v:ext="edit" aspectratio="f"/>
                </v:shape>
                <v:shape id="_x0000_s1026" o:spid="_x0000_s1026" o:spt="32" type="#_x0000_t32" style="position:absolute;left:4706184;top:8881913;height:747262;width:0;" filled="f" stroked="t" coordsize="21600,21600" o:gfxdata="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T8XeMvwAAANwAAAAPAAAAAAAAAAEAIAAAADgAAABkcnMvZG93bnJl&#10;di54bWxQSwECFAAUAAAACACHTuJAMy8FnjsAAAA5AAAAEAAAAAAAAAABACAAAAAkAQAAZHJzL3No&#10;YXBleG1sLnhtbFBLBQYAAAAABgAGAFsBAADOAwAAAAA=&#10;">
                  <v:fill on="f" focussize="0,0"/>
                  <v:stroke weight="1pt" color="#000000 [3200]" miterlimit="8" joinstyle="miter" endarrow="block"/>
                  <v:imagedata o:title=""/>
                  <o:lock v:ext="edit" aspectratio="f"/>
                </v:shape>
                <v:shape id="_x0000_s1026" o:spid="_x0000_s1026" o:spt="32" type="#_x0000_t32" style="position:absolute;left:2091637;top:8369775;flip:x y;height:8138;width:1254982;" filled="f" stroked="t" coordsize="21600,21600" o:gfxdata="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6aUlh70AAADcAAAADwAAAAAAAAABACAAAAA4AAAAZHJzL2Rvd25yZXYu&#10;eG1sUEsBAhQAFAAAAAgAh07iQDMvBZ47AAAAOQAAABAAAAAAAAAAAQAgAAAAIgEAAGRycy9zaGFw&#10;ZXhtbC54bWxQSwUGAAAAAAYABgBbAQAAzAMAAAAA&#10;">
                  <v:fill on="f" focussize="0,0"/>
                  <v:stroke weight="1pt" color="#000000 [3200]" miterlimit="8" joinstyle="miter" endarrow="block"/>
                  <v:imagedata o:title=""/>
                  <o:lock v:ext="edit" aspectratio="f"/>
                </v:shape>
                <v:shape id="_x0000_s1026" o:spid="_x0000_s1026" o:spt="32" type="#_x0000_t32" style="position:absolute;left:1045819;top:7258951;flip:y;height:822824;width:0;" filled="f" stroked="t" coordsize="21600,21600" o:gfxdata="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9W3eL0AAADcAAAADwAAAAAAAAABACAAAAA4AAAAZHJzL2Rvd25yZXYu&#10;eG1sUEsBAhQAFAAAAAgAh07iQDMvBZ47AAAAOQAAABAAAAAAAAAAAQAgAAAAIgEAAGRycy9zaGFw&#10;ZXhtbC54bWxQSwUGAAAAAAYABgBbAQAAzAMAAAAA&#10;">
                  <v:fill on="f" focussize="0,0"/>
                  <v:stroke weight="1pt" color="#000000 [3200]" miterlimit="8" joinstyle="miter" endarrow="block"/>
                  <v:imagedata o:title=""/>
                  <o:lock v:ext="edit" aspectratio="f"/>
                </v:shape>
                <v:shape id="_x0000_s1026" o:spid="_x0000_s1026" o:spt="32" type="#_x0000_t32" style="position:absolute;left:2091637;top:6970951;height:4859;width:1568728;" filled="f" stroked="t" coordsize="21600,21600" o:gfxdata="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BxJIzL0AAADcAAAADwAAAAAAAAABACAAAAA4AAAAZHJzL2Rvd25yZXYu&#10;eG1sUEsBAhQAFAAAAAgAh07iQDMvBZ47AAAAOQAAABAAAAAAAAAAAQAgAAAAIgEAAGRycy9zaGFw&#10;ZXhtbC54bWxQSwUGAAAAAAYABgBbAQAAzAMAAAAA&#10;">
                  <v:fill on="f" focussize="0,0"/>
                  <v:stroke weight="1pt" color="#000000 [3200]" miterlimit="8" joinstyle="miter" endarrow="block"/>
                  <v:imagedata o:title=""/>
                  <o:lock v:ext="edit" aspectratio="f"/>
                </v:shape>
                <v:shape id="_x0000_s1026" o:spid="_x0000_s1026" o:spt="32" type="#_x0000_t32" style="position:absolute;left:5752002;top:9917175;height:0;width:1564018;" filled="f" stroked="t" coordsize="21600,21600" o:gfxdata="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PfA1ru7AAAA3AAAAA8AAAAAAAAAAQAgAAAAOAAAAGRycy9kb3ducmV2Lnht&#10;bFBLAQIUABQAAAAIAIdO4kAzLwWeOwAAADkAAAAQAAAAAAAAAAEAIAAAACABAABkcnMvc2hhcGV4&#10;bWwueG1sUEsFBgAAAAAGAAYAWwEAAMoDAAAAAA==&#10;">
                  <v:fill on="f" focussize="0,0"/>
                  <v:stroke weight="1pt" color="#000000 [3200]" miterlimit="8" joinstyle="miter" endarrow="block"/>
                  <v:imagedata o:title=""/>
                  <o:lock v:ext="edit" aspectratio="f"/>
                </v:shape>
                <v:shape id="文本框 93" o:spid="_x0000_s1026" o:spt="202" type="#_x0000_t202" style="position:absolute;left:1920070;top:3842442;height:773214;width:1513169;" filled="f" stroked="f" coordsize="21600,21600" o:gfxdata="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F8FEMe7AAAA3AAAAA8AAAAAAAAAAQAgAAAAOAAAAGRycy9kb3ducmV2Lnht&#10;bFBLAQIUABQAAAAIAIdO4kAzLwWeOwAAADkAAAAQAAAAAAAAAAEAIAAAACABAABkcnMvc2hhcGV4&#10;bWwueG1sUEsFBgAAAAAGAAYAWwEAAMoDAAAAAA==&#10;">
                  <v:fill on="f" focussize="0,0"/>
                  <v:stroke on="f"/>
                  <v:imagedata o:title=""/>
                  <o:lock v:ext="edit" aspectratio="f"/>
                  <v:textbox>
                    <w:txbxContent>
                      <w:p>
                        <w:pPr>
                          <w:adjustRightInd w:val="0"/>
                          <w:snapToGrid w:val="0"/>
                          <w:jc w:val="center"/>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未达响应</w:t>
                        </w:r>
                      </w:p>
                      <w:p>
                        <w:pPr>
                          <w:adjustRightInd w:val="0"/>
                          <w:snapToGrid w:val="0"/>
                          <w:jc w:val="center"/>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启动条件</w:t>
                        </w:r>
                      </w:p>
                    </w:txbxContent>
                  </v:textbox>
                </v:shape>
                <v:shape id="文本框 103" o:spid="_x0000_s1026" o:spt="202" type="#_x0000_t202" style="position:absolute;left:2091637;top:7985582;height:773214;width:1458731;" filled="f" stroked="f" coordsize="21600,21600" o:gfxdata="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DsiLO7AAAA3AAAAA8AAAAAAAAAAQAgAAAAOAAAAGRycy9kb3ducmV2Lnht&#10;bFBLAQIUABQAAAAIAIdO4kAzLwWeOwAAADkAAAAQAAAAAAAAAAEAIAAAACABAABkcnMvc2hhcGV4&#10;bWwueG1sUEsFBgAAAAAGAAYAWwEAAMoDAAAAAA==&#10;">
                  <v:fill on="f" focussize="0,0"/>
                  <v:stroke on="f"/>
                  <v:imagedata o:title=""/>
                  <o:lock v:ext="edit" aspectratio="f"/>
                  <v:textbox>
                    <w:txbxContent>
                      <w:p>
                        <w:pPr>
                          <w:adjustRightInd w:val="0"/>
                          <w:snapToGrid w:val="0"/>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突发事件</w:t>
                        </w:r>
                      </w:p>
                      <w:p>
                        <w:pPr>
                          <w:adjustRightInd w:val="0"/>
                          <w:snapToGrid w:val="0"/>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难以控制</w:t>
                        </w:r>
                      </w:p>
                    </w:txbxContent>
                  </v:textbox>
                </v:shape>
                <v:shape id="文本框 104" o:spid="_x0000_s1026" o:spt="202" type="#_x0000_t202" style="position:absolute;left:4684911;top:8881915;height:773214;width:1727896;" filled="f" stroked="f" coordsize="21600,21600" o:gfxdata="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L+gLSi7AAAA3AAAAA8AAAAAAAAAAQAgAAAAOAAAAGRycy9kb3ducmV2Lnht&#10;bFBLAQIUABQAAAAIAIdO4kAzLwWeOwAAADkAAAAQAAAAAAAAAAEAIAAAACABAABkcnMvc2hhcGV4&#10;bWwueG1sUEsFBgAAAAAGAAYAWwEAAMoDAAAAAA==&#10;">
                  <v:fill on="f" focussize="0,0"/>
                  <v:stroke on="f"/>
                  <v:imagedata o:title=""/>
                  <o:lock v:ext="edit" aspectratio="f"/>
                  <v:textbox>
                    <w:txbxContent>
                      <w:p>
                        <w:pPr>
                          <w:adjustRightInd w:val="0"/>
                          <w:snapToGrid w:val="0"/>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突发事件</w:t>
                        </w:r>
                      </w:p>
                      <w:p>
                        <w:pPr>
                          <w:adjustRightInd w:val="0"/>
                          <w:snapToGrid w:val="0"/>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得到处置</w:t>
                        </w:r>
                      </w:p>
                    </w:txbxContent>
                  </v:textbox>
                </v:shape>
                <v:rect id="_x0000_s1026" o:spid="_x0000_s1026" o:spt="1" style="position:absolute;left:3659596;top:5395393;height:576000;width:2091637;v-text-anchor:middle;" fillcolor="#FFFFFF [3201]" filled="t" stroked="t" coordsize="21600,21600" o:gfxdata="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N0LdboAAADcAAAADwAAAAAAAAABACAAAAA4AAAAZHJzL2Rvd25yZXYueG1s&#10;UEsBAhQAFAAAAAgAh07iQDMvBZ47AAAAOQAAABAAAAAAAAAAAQAgAAAAHwEAAGRycy9zaGFwZXht&#10;bC54bWxQSwUGAAAAAAYABgBbAQAAyQMAAAAA&#10;">
                  <v:fill on="t" focussize="0,0"/>
                  <v:stroke weight="1pt" color="#000000 [3200]" miterlimit="8" joinstyle="miter"/>
                  <v:imagedata o:title=""/>
                  <o:lock v:ext="edit" aspectratio="f"/>
                  <v:textbox>
                    <w:txbxContent>
                      <w:p>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启动响应</w:t>
                        </w:r>
                      </w:p>
                    </w:txbxContent>
                  </v:textbox>
                </v:rect>
                <v:shape id="_x0000_s1026" o:spid="_x0000_s1026" o:spt="32" type="#_x0000_t32" style="position:absolute;left:4705415;top:4742745;height:652648;width:0;" filled="f" stroked="t" coordsize="21600,21600" o:gfxdata="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nt3UjvAAAANwAAAAPAAAAAAAAAAEAIAAAADgAAABkcnMvZG93bnJldi54&#10;bWxQSwECFAAUAAAACACHTuJAMy8FnjsAAAA5AAAAEAAAAAAAAAABACAAAAAhAQAAZHJzL3NoYXBl&#10;eG1sLnhtbFBLBQYAAAAABgAGAFsBAADLAwAAAAA=&#10;">
                  <v:fill on="f" focussize="0,0"/>
                  <v:stroke weight="1pt" color="#000000 [3200]" miterlimit="8" joinstyle="miter" endarrow="block"/>
                  <v:imagedata o:title=""/>
                  <o:lock v:ext="edit" aspectratio="f"/>
                </v:shape>
                <v:shape id="_x0000_s1026" o:spid="_x0000_s1026" o:spt="32" type="#_x0000_t32" style="position:absolute;left:4705415;top:5971393;height:716417;width:769;" filled="f" stroked="t" coordsize="21600,21600" o:gfxdata="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WKOFRvwAAANwAAAAPAAAAAAAAAAEAIAAAADgAAABkcnMvZG93bnJl&#10;di54bWxQSwECFAAUAAAACACHTuJAMy8FnjsAAAA5AAAAEAAAAAAAAAABACAAAAAkAQAAZHJzL3No&#10;YXBleG1sLnhtbFBLBQYAAAAABgAGAFsBAADOAwAAAAA=&#10;">
                  <v:fill on="f" focussize="0,0"/>
                  <v:stroke weight="1pt" color="#000000 [3200]" miterlimit="8" joinstyle="miter" endarrow="block"/>
                  <v:imagedata o:title=""/>
                  <o:lock v:ext="edit" aspectratio="f"/>
                </v:shape>
                <v:shape id="文本框 49" o:spid="_x0000_s1026" o:spt="202" type="#_x0000_t202" style="position:absolute;left:4765390;top:4648390;height:773214;width:1583737;" filled="f" stroked="f" coordsize="21600,21600" o:gfxdata="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7SctuQAAANwAAAAPAAAAAAAAAAEAIAAAADgAAABkcnMvZG93bnJldi54bWxQ&#10;SwECFAAUAAAACACHTuJAMy8FnjsAAAA5AAAAEAAAAAAAAAABACAAAAAeAQAAZHJzL3NoYXBleG1s&#10;LnhtbFBLBQYAAAAABgAGAFsBAADIAwAAAAA=&#10;">
                  <v:fill on="f" focussize="0,0"/>
                  <v:stroke on="f"/>
                  <v:imagedata o:title=""/>
                  <o:lock v:ext="edit" aspectratio="f"/>
                  <v:textbox>
                    <w:txbxContent>
                      <w:p>
                        <w:pPr>
                          <w:adjustRightInd w:val="0"/>
                          <w:snapToGrid w:val="0"/>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达到响应</w:t>
                        </w:r>
                      </w:p>
                      <w:p>
                        <w:pPr>
                          <w:adjustRightInd w:val="0"/>
                          <w:snapToGrid w:val="0"/>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启动条件</w:t>
                        </w:r>
                      </w:p>
                    </w:txbxContent>
                  </v:textbox>
                </v:shape>
                <v:shape id="_x0000_s1026" o:spid="_x0000_s1026" o:spt="116" type="#_x0000_t116" style="position:absolute;left:3658802;top:-63117;height:639106;width:2091637;v-text-anchor:middle;" fillcolor="#FFFFFF [3201]" filled="t" stroked="t" coordsize="21600,21600" o:gfxdata="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U9U+2vwAAANwAAAAPAAAAAAAAAAEAIAAAADgAAABkcnMvZG93bnJl&#10;di54bWxQSwECFAAUAAAACACHTuJAMy8FnjsAAAA5AAAAEAAAAAAAAAABACAAAAAkAQAAZHJzL3No&#10;YXBleG1sLnhtbFBLBQYAAAAABgAGAFsBAADOAwAAAAA=&#10;">
                  <v:fill on="t" focussize="0,0"/>
                  <v:stroke weight="1pt" color="#000000 [3200]" miterlimit="8" joinstyle="miter"/>
                  <v:imagedata o:title=""/>
                  <o:lock v:ext="edit" aspectratio="f"/>
                  <v:textbox>
                    <w:txbxContent>
                      <w:p>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突发事件</w:t>
                        </w:r>
                      </w:p>
                    </w:txbxContent>
                  </v:textbox>
                </v:shape>
                <v:rect id="_x0000_s1026" o:spid="_x0000_s1026" o:spt="1" style="position:absolute;left:7316019;top:2559343;height:576000;width:2091637;v-text-anchor:middle;" fillcolor="#FFFFFF [3201]" filled="t" stroked="t" coordsize="21600,21600" o:gfxdata="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vVhZvLoAAADcAAAADwAAAAAAAAABACAAAAA4AAAAZHJzL2Rvd25yZXYueG1s&#10;UEsBAhQAFAAAAAgAh07iQDMvBZ47AAAAOQAAABAAAAAAAAAAAQAgAAAAHwEAAGRycy9zaGFwZXht&#10;bC54bWxQSwUGAAAAAAYABgBbAQAAyQMAAAAA&#10;">
                  <v:fill on="t" focussize="0,0"/>
                  <v:stroke weight="1pt" color="#000000 [3200]" miterlimit="8" joinstyle="miter"/>
                  <v:imagedata o:title=""/>
                  <o:lock v:ext="edit" aspectratio="f"/>
                  <v:textbox>
                    <w:txbxContent>
                      <w:p>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先期处置</w:t>
                        </w:r>
                      </w:p>
                    </w:txbxContent>
                  </v:textbox>
                </v:rect>
                <v:shape id="连接符: 肘形 122" o:spid="_x0000_s1026" o:spt="33" type="#_x0000_t33" style="position:absolute;left:1848598;top:2044382;flip:x y;height:2614478;width:1008920;rotation:5898240f;" filled="f" stroked="t" coordsize="21600,21600" o:gfxdata="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&#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A6bC9S4AAAA3AAAAA8AAAAAAAAAAQAgAAAAOAAAAGRycy9kb3ducmV2LnhtbFBL&#10;AQIUABQAAAAIAIdO4kAzLwWeOwAAADkAAAAQAAAAAAAAAAEAIAAAAB0BAABkcnMvc2hhcGV4bWwu&#10;eG1sUEsFBgAAAAAGAAYAWwEAAMcDAAAAAA==&#10;">
                  <v:fill on="f" focussize="0,0"/>
                  <v:stroke weight="1pt" color="#000000 [3200]" miterlimit="8" joinstyle="miter" endarrow="block"/>
                  <v:imagedata o:title=""/>
                  <o:lock v:ext="edit" aspectratio="f"/>
                </v:shape>
                <v:shape id="_x0000_s1026" o:spid="_x0000_s1026" o:spt="32" type="#_x0000_t32" style="position:absolute;left:2091637;top:4238745;flip:x;height:0;width:1254213;" filled="f" stroked="t" coordsize="21600,21600" o:gfxdata="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Fr47K7AAAA3AAAAA8AAAAAAAAAAQAgAAAAOAAAAGRycy9kb3ducmV2Lnht&#10;bFBLAQIUABQAAAAIAIdO4kAzLwWeOwAAADkAAAAQAAAAAAAAAAEAIAAAACABAABkcnMvc2hhcGV4&#10;bWwueG1sUEsFBgAAAAAGAAYAWwEAAMoDAAAAAA==&#10;">
                  <v:fill on="f" focussize="0,0"/>
                  <v:stroke weight="1pt" color="#000000 [3200]" miterlimit="8" joinstyle="miter" endarrow="block"/>
                  <v:imagedata o:title=""/>
                  <o:lock v:ext="edit" aspectratio="f"/>
                </v:shape>
                <v:shape id="连接符: 肘形 124" o:spid="_x0000_s1026" o:spt="34" type="#_x0000_t34" style="position:absolute;left:6992252;top:1189756;flip:x;height:1986067;width:753105;rotation:5898240f;" filled="f" stroked="t" coordsize="21600,21600" o:gfxdata="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GCjO97oAAADcAAAADwAAAAAAAAABACAAAAA4AAAAZHJzL2Rvd25yZXYueG1s&#10;UEsBAhQAFAAAAAgAh07iQDMvBZ47AAAAOQAAABAAAAAAAAAAAQAgAAAAHwEAAGRycy9zaGFwZXht&#10;bC54bWxQSwUGAAAAAAYABgBbAQAAyQMAAAAA&#10;" adj="10800">
                  <v:fill on="f" focussize="0,0"/>
                  <v:stroke weight="1pt" color="#000000 [3200]" miterlimit="8" joinstyle="miter" endarrow="block"/>
                  <v:imagedata o:title=""/>
                  <o:lock v:ext="edit" aspectratio="f"/>
                </v:shape>
                <w10:wrap type="none"/>
                <w10:anchorlock/>
              </v:group>
            </w:pict>
          </mc:Fallback>
        </mc:AlternateContent>
      </w:r>
    </w:p>
    <w:p>
      <w:pPr>
        <w:pStyle w:val="35"/>
        <w:spacing w:line="240" w:lineRule="auto"/>
        <w:ind w:firstLine="0" w:firstLineChars="0"/>
        <w:jc w:val="center"/>
      </w:pPr>
    </w:p>
    <w:p>
      <w:pPr>
        <w:pStyle w:val="35"/>
        <w:spacing w:line="240" w:lineRule="auto"/>
        <w:ind w:firstLine="0" w:firstLineChars="0"/>
        <w:jc w:val="center"/>
      </w:pPr>
    </w:p>
    <w:p>
      <w:pPr>
        <w:pStyle w:val="35"/>
        <w:spacing w:line="240" w:lineRule="auto"/>
        <w:ind w:firstLine="0" w:firstLineChars="0"/>
        <w:jc w:val="center"/>
        <w:sectPr>
          <w:pgSz w:w="11906" w:h="16838"/>
          <w:pgMar w:top="1440" w:right="1287" w:bottom="1440" w:left="1287" w:header="851" w:footer="992" w:gutter="0"/>
          <w:cols w:space="425" w:num="1"/>
          <w:docGrid w:type="lines" w:linePitch="312" w:charSpace="0"/>
        </w:sectPr>
      </w:pPr>
    </w:p>
    <w:p>
      <w:pPr>
        <w:pStyle w:val="31"/>
      </w:pPr>
      <w:bookmarkStart w:id="110" w:name="_Toc94283149"/>
      <w:r>
        <w:rPr>
          <w:rFonts w:hint="eastAsia"/>
        </w:rPr>
        <w:t>河南省交通运输厅应急预案类别</w:t>
      </w:r>
      <w:bookmarkEnd w:id="110"/>
    </w:p>
    <w:p>
      <w:pPr>
        <w:pStyle w:val="35"/>
        <w:ind w:firstLine="640"/>
      </w:pPr>
      <w:r>
        <w:rPr>
          <w:rFonts w:hint="eastAsia"/>
        </w:rPr>
        <w:t>河南省交通运输厅应急预案包括厅机关相关处室和厅直属相关单位牵头编制的各类突发事件部门应急预案。</w:t>
      </w:r>
    </w:p>
    <w:tbl>
      <w:tblPr>
        <w:tblStyle w:val="12"/>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969"/>
        <w:gridCol w:w="3827"/>
      </w:tblGrid>
      <w:tr>
        <w:trPr>
          <w:trHeight w:val="567" w:hRule="atLeast"/>
          <w:jc w:val="center"/>
        </w:trPr>
        <w:tc>
          <w:tcPr>
            <w:tcW w:w="846" w:type="dxa"/>
            <w:vAlign w:val="center"/>
          </w:tcPr>
          <w:p>
            <w:pPr>
              <w:pStyle w:val="35"/>
              <w:spacing w:line="240" w:lineRule="auto"/>
              <w:ind w:firstLine="0" w:firstLineChars="0"/>
              <w:jc w:val="center"/>
              <w:rPr>
                <w:b/>
                <w:bCs/>
                <w:sz w:val="30"/>
                <w:szCs w:val="30"/>
              </w:rPr>
            </w:pPr>
            <w:r>
              <w:rPr>
                <w:rFonts w:hint="eastAsia"/>
                <w:b/>
                <w:bCs/>
                <w:sz w:val="30"/>
                <w:szCs w:val="30"/>
              </w:rPr>
              <w:t>序号</w:t>
            </w:r>
          </w:p>
        </w:tc>
        <w:tc>
          <w:tcPr>
            <w:tcW w:w="3969" w:type="dxa"/>
            <w:vAlign w:val="center"/>
          </w:tcPr>
          <w:p>
            <w:pPr>
              <w:pStyle w:val="35"/>
              <w:spacing w:line="240" w:lineRule="auto"/>
              <w:ind w:firstLine="0" w:firstLineChars="0"/>
              <w:jc w:val="center"/>
              <w:rPr>
                <w:b/>
                <w:bCs/>
                <w:sz w:val="30"/>
                <w:szCs w:val="30"/>
              </w:rPr>
            </w:pPr>
            <w:r>
              <w:rPr>
                <w:rFonts w:hint="eastAsia"/>
                <w:b/>
                <w:bCs/>
                <w:sz w:val="30"/>
                <w:szCs w:val="30"/>
              </w:rPr>
              <w:t>预案类别</w:t>
            </w:r>
          </w:p>
        </w:tc>
        <w:tc>
          <w:tcPr>
            <w:tcW w:w="3827" w:type="dxa"/>
            <w:vAlign w:val="center"/>
          </w:tcPr>
          <w:p>
            <w:pPr>
              <w:pStyle w:val="35"/>
              <w:spacing w:line="240" w:lineRule="auto"/>
              <w:ind w:firstLine="0" w:firstLineChars="0"/>
              <w:jc w:val="center"/>
              <w:rPr>
                <w:b/>
                <w:bCs/>
                <w:sz w:val="30"/>
                <w:szCs w:val="30"/>
              </w:rPr>
            </w:pPr>
            <w:r>
              <w:rPr>
                <w:rFonts w:hint="eastAsia"/>
                <w:b/>
                <w:bCs/>
                <w:sz w:val="30"/>
                <w:szCs w:val="30"/>
              </w:rPr>
              <w:t>牵头处室/单位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vAlign w:val="center"/>
          </w:tcPr>
          <w:p>
            <w:pPr>
              <w:pStyle w:val="35"/>
              <w:numPr>
                <w:ilvl w:val="0"/>
                <w:numId w:val="6"/>
              </w:numPr>
              <w:spacing w:line="240" w:lineRule="auto"/>
              <w:ind w:firstLineChars="0"/>
              <w:jc w:val="center"/>
              <w:rPr>
                <w:sz w:val="30"/>
                <w:szCs w:val="30"/>
              </w:rPr>
            </w:pPr>
          </w:p>
        </w:tc>
        <w:tc>
          <w:tcPr>
            <w:tcW w:w="3969" w:type="dxa"/>
            <w:vAlign w:val="center"/>
          </w:tcPr>
          <w:p>
            <w:pPr>
              <w:pStyle w:val="35"/>
              <w:spacing w:line="240" w:lineRule="auto"/>
              <w:ind w:firstLine="0" w:firstLineChars="0"/>
              <w:jc w:val="center"/>
              <w:rPr>
                <w:sz w:val="30"/>
                <w:szCs w:val="30"/>
              </w:rPr>
            </w:pPr>
            <w:r>
              <w:rPr>
                <w:rFonts w:hint="eastAsia"/>
                <w:sz w:val="30"/>
                <w:szCs w:val="30"/>
              </w:rPr>
              <w:t>交通运输突发事件综合</w:t>
            </w:r>
          </w:p>
        </w:tc>
        <w:tc>
          <w:tcPr>
            <w:tcW w:w="3827" w:type="dxa"/>
            <w:vAlign w:val="center"/>
          </w:tcPr>
          <w:p>
            <w:pPr>
              <w:pStyle w:val="35"/>
              <w:spacing w:line="240" w:lineRule="auto"/>
              <w:ind w:firstLine="0" w:firstLineChars="0"/>
              <w:jc w:val="center"/>
              <w:rPr>
                <w:sz w:val="30"/>
                <w:szCs w:val="30"/>
              </w:rPr>
            </w:pPr>
            <w:r>
              <w:rPr>
                <w:rFonts w:hint="eastAsia"/>
                <w:sz w:val="30"/>
                <w:szCs w:val="30"/>
              </w:rPr>
              <w:t>厅安全监督处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vAlign w:val="center"/>
          </w:tcPr>
          <w:p>
            <w:pPr>
              <w:pStyle w:val="35"/>
              <w:numPr>
                <w:ilvl w:val="0"/>
                <w:numId w:val="6"/>
              </w:numPr>
              <w:spacing w:line="240" w:lineRule="auto"/>
              <w:ind w:firstLineChars="0"/>
              <w:jc w:val="center"/>
              <w:rPr>
                <w:sz w:val="30"/>
                <w:szCs w:val="30"/>
              </w:rPr>
            </w:pPr>
          </w:p>
        </w:tc>
        <w:tc>
          <w:tcPr>
            <w:tcW w:w="3969" w:type="dxa"/>
            <w:vAlign w:val="center"/>
          </w:tcPr>
          <w:p>
            <w:pPr>
              <w:pStyle w:val="35"/>
              <w:spacing w:line="240" w:lineRule="auto"/>
              <w:ind w:firstLine="0" w:firstLineChars="0"/>
              <w:jc w:val="center"/>
              <w:rPr>
                <w:sz w:val="30"/>
                <w:szCs w:val="30"/>
              </w:rPr>
            </w:pPr>
            <w:r>
              <w:rPr>
                <w:rFonts w:hint="eastAsia"/>
                <w:sz w:val="30"/>
                <w:szCs w:val="30"/>
              </w:rPr>
              <w:t>城市轨道交通运营事故</w:t>
            </w:r>
          </w:p>
        </w:tc>
        <w:tc>
          <w:tcPr>
            <w:tcW w:w="3827" w:type="dxa"/>
            <w:vAlign w:val="center"/>
          </w:tcPr>
          <w:p>
            <w:pPr>
              <w:pStyle w:val="35"/>
              <w:spacing w:line="240" w:lineRule="auto"/>
              <w:ind w:firstLine="0" w:firstLineChars="0"/>
              <w:jc w:val="center"/>
              <w:rPr>
                <w:sz w:val="30"/>
                <w:szCs w:val="30"/>
              </w:rPr>
            </w:pPr>
            <w:r>
              <w:rPr>
                <w:rFonts w:hint="eastAsia"/>
                <w:sz w:val="30"/>
                <w:szCs w:val="30"/>
              </w:rPr>
              <w:t>厅运输管理处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vAlign w:val="center"/>
          </w:tcPr>
          <w:p>
            <w:pPr>
              <w:pStyle w:val="35"/>
              <w:numPr>
                <w:ilvl w:val="0"/>
                <w:numId w:val="6"/>
              </w:numPr>
              <w:spacing w:line="240" w:lineRule="auto"/>
              <w:ind w:firstLineChars="0"/>
              <w:jc w:val="center"/>
              <w:rPr>
                <w:sz w:val="30"/>
                <w:szCs w:val="30"/>
              </w:rPr>
            </w:pPr>
          </w:p>
        </w:tc>
        <w:tc>
          <w:tcPr>
            <w:tcW w:w="3969" w:type="dxa"/>
            <w:vAlign w:val="center"/>
          </w:tcPr>
          <w:p>
            <w:pPr>
              <w:pStyle w:val="35"/>
              <w:spacing w:line="240" w:lineRule="auto"/>
              <w:ind w:firstLine="0" w:firstLineChars="0"/>
              <w:jc w:val="center"/>
              <w:rPr>
                <w:sz w:val="30"/>
                <w:szCs w:val="30"/>
              </w:rPr>
            </w:pPr>
            <w:r>
              <w:rPr>
                <w:rFonts w:hint="eastAsia"/>
                <w:sz w:val="30"/>
                <w:szCs w:val="30"/>
              </w:rPr>
              <w:t>公路水路工程生产安全事故</w:t>
            </w:r>
          </w:p>
        </w:tc>
        <w:tc>
          <w:tcPr>
            <w:tcW w:w="3827" w:type="dxa"/>
            <w:vAlign w:val="center"/>
          </w:tcPr>
          <w:p>
            <w:pPr>
              <w:pStyle w:val="35"/>
              <w:spacing w:line="240" w:lineRule="auto"/>
              <w:ind w:firstLine="0" w:firstLineChars="0"/>
              <w:jc w:val="center"/>
              <w:rPr>
                <w:sz w:val="30"/>
                <w:szCs w:val="30"/>
              </w:rPr>
            </w:pPr>
            <w:r>
              <w:rPr>
                <w:rFonts w:hint="eastAsia"/>
                <w:sz w:val="30"/>
                <w:szCs w:val="30"/>
              </w:rPr>
              <w:t>厅建设管理处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vAlign w:val="center"/>
          </w:tcPr>
          <w:p>
            <w:pPr>
              <w:pStyle w:val="35"/>
              <w:numPr>
                <w:ilvl w:val="0"/>
                <w:numId w:val="6"/>
              </w:numPr>
              <w:spacing w:line="240" w:lineRule="auto"/>
              <w:ind w:firstLineChars="0"/>
              <w:jc w:val="center"/>
              <w:rPr>
                <w:sz w:val="30"/>
                <w:szCs w:val="30"/>
              </w:rPr>
            </w:pPr>
          </w:p>
        </w:tc>
        <w:tc>
          <w:tcPr>
            <w:tcW w:w="3969" w:type="dxa"/>
            <w:vAlign w:val="center"/>
          </w:tcPr>
          <w:p>
            <w:pPr>
              <w:pStyle w:val="35"/>
              <w:spacing w:line="240" w:lineRule="auto"/>
              <w:ind w:firstLine="0" w:firstLineChars="0"/>
              <w:jc w:val="center"/>
              <w:rPr>
                <w:sz w:val="30"/>
                <w:szCs w:val="30"/>
              </w:rPr>
            </w:pPr>
            <w:r>
              <w:rPr>
                <w:rFonts w:hint="eastAsia"/>
                <w:sz w:val="30"/>
                <w:szCs w:val="30"/>
              </w:rPr>
              <w:t>普通公路交通突发事件</w:t>
            </w:r>
          </w:p>
        </w:tc>
        <w:tc>
          <w:tcPr>
            <w:tcW w:w="3827" w:type="dxa"/>
            <w:vAlign w:val="center"/>
          </w:tcPr>
          <w:p>
            <w:pPr>
              <w:pStyle w:val="35"/>
              <w:spacing w:line="240" w:lineRule="auto"/>
              <w:ind w:firstLine="0" w:firstLineChars="0"/>
              <w:jc w:val="center"/>
              <w:rPr>
                <w:sz w:val="30"/>
                <w:szCs w:val="30"/>
              </w:rPr>
            </w:pPr>
            <w:r>
              <w:rPr>
                <w:rFonts w:hint="eastAsia"/>
                <w:sz w:val="30"/>
                <w:szCs w:val="30"/>
              </w:rPr>
              <w:t>省交通事业发展中心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vAlign w:val="center"/>
          </w:tcPr>
          <w:p>
            <w:pPr>
              <w:pStyle w:val="35"/>
              <w:numPr>
                <w:ilvl w:val="0"/>
                <w:numId w:val="6"/>
              </w:numPr>
              <w:spacing w:line="240" w:lineRule="auto"/>
              <w:ind w:firstLineChars="0"/>
              <w:jc w:val="center"/>
              <w:rPr>
                <w:sz w:val="30"/>
                <w:szCs w:val="30"/>
              </w:rPr>
            </w:pPr>
          </w:p>
        </w:tc>
        <w:tc>
          <w:tcPr>
            <w:tcW w:w="3969" w:type="dxa"/>
            <w:vAlign w:val="center"/>
          </w:tcPr>
          <w:p>
            <w:pPr>
              <w:pStyle w:val="35"/>
              <w:spacing w:line="240" w:lineRule="auto"/>
              <w:ind w:firstLine="0" w:firstLineChars="0"/>
              <w:jc w:val="center"/>
              <w:rPr>
                <w:sz w:val="30"/>
                <w:szCs w:val="30"/>
              </w:rPr>
            </w:pPr>
            <w:r>
              <w:rPr>
                <w:rFonts w:hint="eastAsia"/>
                <w:sz w:val="30"/>
                <w:szCs w:val="30"/>
              </w:rPr>
              <w:t>高速公路交通突发事件</w:t>
            </w:r>
          </w:p>
        </w:tc>
        <w:tc>
          <w:tcPr>
            <w:tcW w:w="3827" w:type="dxa"/>
            <w:vAlign w:val="center"/>
          </w:tcPr>
          <w:p>
            <w:pPr>
              <w:pStyle w:val="35"/>
              <w:spacing w:line="240" w:lineRule="auto"/>
              <w:ind w:firstLine="0" w:firstLineChars="0"/>
              <w:jc w:val="center"/>
              <w:rPr>
                <w:sz w:val="30"/>
                <w:szCs w:val="30"/>
              </w:rPr>
            </w:pPr>
            <w:r>
              <w:rPr>
                <w:rFonts w:hint="eastAsia"/>
                <w:sz w:val="30"/>
                <w:szCs w:val="30"/>
              </w:rPr>
              <w:t>省高速公路联网管理中心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vAlign w:val="center"/>
          </w:tcPr>
          <w:p>
            <w:pPr>
              <w:pStyle w:val="35"/>
              <w:numPr>
                <w:ilvl w:val="0"/>
                <w:numId w:val="6"/>
              </w:numPr>
              <w:spacing w:line="240" w:lineRule="auto"/>
              <w:ind w:firstLineChars="0"/>
              <w:jc w:val="center"/>
              <w:rPr>
                <w:sz w:val="30"/>
                <w:szCs w:val="30"/>
              </w:rPr>
            </w:pPr>
          </w:p>
        </w:tc>
        <w:tc>
          <w:tcPr>
            <w:tcW w:w="3969" w:type="dxa"/>
            <w:vAlign w:val="center"/>
          </w:tcPr>
          <w:p>
            <w:pPr>
              <w:pStyle w:val="35"/>
              <w:spacing w:line="240" w:lineRule="auto"/>
              <w:ind w:firstLine="0" w:firstLineChars="0"/>
              <w:jc w:val="center"/>
              <w:rPr>
                <w:sz w:val="30"/>
                <w:szCs w:val="30"/>
              </w:rPr>
            </w:pPr>
            <w:r>
              <w:rPr>
                <w:rFonts w:hint="eastAsia"/>
                <w:sz w:val="30"/>
                <w:szCs w:val="30"/>
              </w:rPr>
              <w:t>道路运输突发事件</w:t>
            </w:r>
          </w:p>
        </w:tc>
        <w:tc>
          <w:tcPr>
            <w:tcW w:w="3827" w:type="dxa"/>
            <w:vAlign w:val="center"/>
          </w:tcPr>
          <w:p>
            <w:pPr>
              <w:pStyle w:val="35"/>
              <w:spacing w:line="240" w:lineRule="auto"/>
              <w:ind w:firstLine="0" w:firstLineChars="0"/>
              <w:jc w:val="center"/>
              <w:rPr>
                <w:sz w:val="30"/>
                <w:szCs w:val="30"/>
              </w:rPr>
            </w:pPr>
            <w:r>
              <w:rPr>
                <w:rFonts w:hint="eastAsia"/>
                <w:sz w:val="30"/>
                <w:szCs w:val="30"/>
              </w:rPr>
              <w:t>省运输事业发展中心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vAlign w:val="center"/>
          </w:tcPr>
          <w:p>
            <w:pPr>
              <w:pStyle w:val="35"/>
              <w:numPr>
                <w:ilvl w:val="0"/>
                <w:numId w:val="6"/>
              </w:numPr>
              <w:spacing w:line="240" w:lineRule="auto"/>
              <w:ind w:firstLineChars="0"/>
              <w:jc w:val="center"/>
              <w:rPr>
                <w:sz w:val="30"/>
                <w:szCs w:val="30"/>
              </w:rPr>
            </w:pPr>
          </w:p>
        </w:tc>
        <w:tc>
          <w:tcPr>
            <w:tcW w:w="3969" w:type="dxa"/>
            <w:vAlign w:val="center"/>
          </w:tcPr>
          <w:p>
            <w:pPr>
              <w:pStyle w:val="35"/>
              <w:spacing w:line="240" w:lineRule="auto"/>
              <w:ind w:firstLine="0" w:firstLineChars="0"/>
              <w:jc w:val="center"/>
              <w:rPr>
                <w:sz w:val="30"/>
                <w:szCs w:val="30"/>
              </w:rPr>
            </w:pPr>
            <w:r>
              <w:rPr>
                <w:rFonts w:hint="eastAsia"/>
                <w:sz w:val="30"/>
                <w:szCs w:val="30"/>
              </w:rPr>
              <w:t>防汛抗旱</w:t>
            </w:r>
          </w:p>
        </w:tc>
        <w:tc>
          <w:tcPr>
            <w:tcW w:w="3827" w:type="dxa"/>
            <w:vAlign w:val="center"/>
          </w:tcPr>
          <w:p>
            <w:pPr>
              <w:pStyle w:val="35"/>
              <w:spacing w:line="240" w:lineRule="auto"/>
              <w:ind w:firstLine="0" w:firstLineChars="0"/>
              <w:jc w:val="center"/>
              <w:rPr>
                <w:sz w:val="30"/>
                <w:szCs w:val="30"/>
              </w:rPr>
            </w:pPr>
            <w:r>
              <w:rPr>
                <w:rFonts w:hint="eastAsia"/>
                <w:sz w:val="30"/>
                <w:szCs w:val="30"/>
              </w:rPr>
              <w:t>厅安全监督处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vAlign w:val="center"/>
          </w:tcPr>
          <w:p>
            <w:pPr>
              <w:pStyle w:val="35"/>
              <w:numPr>
                <w:ilvl w:val="0"/>
                <w:numId w:val="6"/>
              </w:numPr>
              <w:spacing w:line="240" w:lineRule="auto"/>
              <w:ind w:firstLineChars="0"/>
              <w:jc w:val="center"/>
              <w:rPr>
                <w:sz w:val="30"/>
                <w:szCs w:val="30"/>
              </w:rPr>
            </w:pPr>
          </w:p>
        </w:tc>
        <w:tc>
          <w:tcPr>
            <w:tcW w:w="3969" w:type="dxa"/>
            <w:vAlign w:val="center"/>
          </w:tcPr>
          <w:p>
            <w:pPr>
              <w:pStyle w:val="35"/>
              <w:spacing w:line="240" w:lineRule="auto"/>
              <w:ind w:firstLine="0" w:firstLineChars="0"/>
              <w:jc w:val="center"/>
              <w:rPr>
                <w:sz w:val="30"/>
                <w:szCs w:val="30"/>
              </w:rPr>
            </w:pPr>
            <w:r>
              <w:rPr>
                <w:rFonts w:hint="eastAsia"/>
                <w:sz w:val="30"/>
                <w:szCs w:val="30"/>
              </w:rPr>
              <w:t>地震</w:t>
            </w:r>
          </w:p>
        </w:tc>
        <w:tc>
          <w:tcPr>
            <w:tcW w:w="3827" w:type="dxa"/>
            <w:vAlign w:val="center"/>
          </w:tcPr>
          <w:p>
            <w:pPr>
              <w:pStyle w:val="35"/>
              <w:spacing w:line="240" w:lineRule="auto"/>
              <w:ind w:firstLine="0" w:firstLineChars="0"/>
              <w:jc w:val="center"/>
              <w:rPr>
                <w:sz w:val="30"/>
                <w:szCs w:val="30"/>
              </w:rPr>
            </w:pPr>
            <w:r>
              <w:rPr>
                <w:rFonts w:hint="eastAsia"/>
                <w:sz w:val="30"/>
                <w:szCs w:val="30"/>
              </w:rPr>
              <w:t>厅安全监督处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vAlign w:val="center"/>
          </w:tcPr>
          <w:p>
            <w:pPr>
              <w:pStyle w:val="35"/>
              <w:numPr>
                <w:ilvl w:val="0"/>
                <w:numId w:val="6"/>
              </w:numPr>
              <w:spacing w:line="240" w:lineRule="auto"/>
              <w:ind w:firstLineChars="0"/>
              <w:jc w:val="center"/>
              <w:rPr>
                <w:sz w:val="30"/>
                <w:szCs w:val="30"/>
              </w:rPr>
            </w:pPr>
          </w:p>
        </w:tc>
        <w:tc>
          <w:tcPr>
            <w:tcW w:w="3969" w:type="dxa"/>
            <w:vAlign w:val="center"/>
          </w:tcPr>
          <w:p>
            <w:pPr>
              <w:pStyle w:val="35"/>
              <w:spacing w:line="240" w:lineRule="auto"/>
              <w:ind w:firstLine="0" w:firstLineChars="0"/>
              <w:jc w:val="center"/>
              <w:rPr>
                <w:sz w:val="30"/>
                <w:szCs w:val="30"/>
              </w:rPr>
            </w:pPr>
            <w:r>
              <w:rPr>
                <w:rFonts w:hint="eastAsia"/>
                <w:sz w:val="30"/>
                <w:szCs w:val="30"/>
              </w:rPr>
              <w:t>突发地质灾害</w:t>
            </w:r>
          </w:p>
        </w:tc>
        <w:tc>
          <w:tcPr>
            <w:tcW w:w="3827" w:type="dxa"/>
            <w:vAlign w:val="center"/>
          </w:tcPr>
          <w:p>
            <w:pPr>
              <w:pStyle w:val="35"/>
              <w:spacing w:line="240" w:lineRule="auto"/>
              <w:ind w:firstLine="0" w:firstLineChars="0"/>
              <w:jc w:val="center"/>
              <w:rPr>
                <w:sz w:val="30"/>
                <w:szCs w:val="30"/>
              </w:rPr>
            </w:pPr>
            <w:r>
              <w:rPr>
                <w:rFonts w:hint="eastAsia"/>
                <w:sz w:val="30"/>
                <w:szCs w:val="30"/>
              </w:rPr>
              <w:t>厅安全监督处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vAlign w:val="center"/>
          </w:tcPr>
          <w:p>
            <w:pPr>
              <w:pStyle w:val="35"/>
              <w:numPr>
                <w:ilvl w:val="0"/>
                <w:numId w:val="6"/>
              </w:numPr>
              <w:spacing w:line="240" w:lineRule="auto"/>
              <w:ind w:firstLineChars="0"/>
              <w:jc w:val="center"/>
              <w:rPr>
                <w:sz w:val="30"/>
                <w:szCs w:val="30"/>
              </w:rPr>
            </w:pPr>
          </w:p>
        </w:tc>
        <w:tc>
          <w:tcPr>
            <w:tcW w:w="3969" w:type="dxa"/>
            <w:vAlign w:val="center"/>
          </w:tcPr>
          <w:p>
            <w:pPr>
              <w:pStyle w:val="35"/>
              <w:spacing w:line="240" w:lineRule="auto"/>
              <w:ind w:firstLine="0" w:firstLineChars="0"/>
              <w:jc w:val="center"/>
              <w:rPr>
                <w:sz w:val="30"/>
                <w:szCs w:val="30"/>
              </w:rPr>
            </w:pPr>
            <w:r>
              <w:rPr>
                <w:rFonts w:hint="eastAsia"/>
                <w:sz w:val="30"/>
                <w:szCs w:val="30"/>
              </w:rPr>
              <w:t>低温雨雪冰冻灾害</w:t>
            </w:r>
          </w:p>
        </w:tc>
        <w:tc>
          <w:tcPr>
            <w:tcW w:w="3827" w:type="dxa"/>
            <w:vAlign w:val="center"/>
          </w:tcPr>
          <w:p>
            <w:pPr>
              <w:pStyle w:val="35"/>
              <w:spacing w:line="240" w:lineRule="auto"/>
              <w:ind w:firstLine="0" w:firstLineChars="0"/>
              <w:jc w:val="center"/>
              <w:rPr>
                <w:sz w:val="30"/>
                <w:szCs w:val="30"/>
              </w:rPr>
            </w:pPr>
            <w:r>
              <w:rPr>
                <w:rFonts w:hint="eastAsia"/>
                <w:sz w:val="30"/>
                <w:szCs w:val="30"/>
              </w:rPr>
              <w:t>厅安全监督处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vAlign w:val="center"/>
          </w:tcPr>
          <w:p>
            <w:pPr>
              <w:pStyle w:val="35"/>
              <w:numPr>
                <w:ilvl w:val="0"/>
                <w:numId w:val="6"/>
              </w:numPr>
              <w:spacing w:line="240" w:lineRule="auto"/>
              <w:ind w:firstLineChars="0"/>
              <w:jc w:val="center"/>
              <w:rPr>
                <w:sz w:val="30"/>
                <w:szCs w:val="30"/>
              </w:rPr>
            </w:pPr>
          </w:p>
        </w:tc>
        <w:tc>
          <w:tcPr>
            <w:tcW w:w="3969" w:type="dxa"/>
            <w:vAlign w:val="center"/>
          </w:tcPr>
          <w:p>
            <w:pPr>
              <w:pStyle w:val="35"/>
              <w:spacing w:line="240" w:lineRule="auto"/>
              <w:ind w:firstLine="0" w:firstLineChars="0"/>
              <w:jc w:val="center"/>
              <w:rPr>
                <w:sz w:val="30"/>
                <w:szCs w:val="30"/>
              </w:rPr>
            </w:pPr>
            <w:r>
              <w:rPr>
                <w:rFonts w:hint="eastAsia"/>
                <w:sz w:val="30"/>
                <w:szCs w:val="30"/>
              </w:rPr>
              <w:t>水上突发事件</w:t>
            </w:r>
          </w:p>
        </w:tc>
        <w:tc>
          <w:tcPr>
            <w:tcW w:w="3827" w:type="dxa"/>
            <w:vAlign w:val="center"/>
          </w:tcPr>
          <w:p>
            <w:pPr>
              <w:pStyle w:val="35"/>
              <w:spacing w:line="240" w:lineRule="auto"/>
              <w:ind w:firstLine="0" w:firstLineChars="0"/>
              <w:jc w:val="center"/>
              <w:rPr>
                <w:sz w:val="30"/>
                <w:szCs w:val="30"/>
              </w:rPr>
            </w:pPr>
            <w:r>
              <w:rPr>
                <w:rFonts w:hint="eastAsia"/>
                <w:sz w:val="30"/>
                <w:szCs w:val="30"/>
              </w:rPr>
              <w:t>省交通事业发展中心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vAlign w:val="center"/>
          </w:tcPr>
          <w:p>
            <w:pPr>
              <w:pStyle w:val="35"/>
              <w:numPr>
                <w:ilvl w:val="0"/>
                <w:numId w:val="6"/>
              </w:numPr>
              <w:spacing w:line="240" w:lineRule="auto"/>
              <w:ind w:firstLineChars="0"/>
              <w:jc w:val="center"/>
              <w:rPr>
                <w:sz w:val="30"/>
                <w:szCs w:val="30"/>
              </w:rPr>
            </w:pPr>
          </w:p>
        </w:tc>
        <w:tc>
          <w:tcPr>
            <w:tcW w:w="3969" w:type="dxa"/>
            <w:vAlign w:val="center"/>
          </w:tcPr>
          <w:p>
            <w:pPr>
              <w:pStyle w:val="35"/>
              <w:spacing w:line="240" w:lineRule="auto"/>
              <w:ind w:firstLine="0" w:firstLineChars="0"/>
              <w:jc w:val="center"/>
              <w:rPr>
                <w:sz w:val="30"/>
                <w:szCs w:val="30"/>
              </w:rPr>
            </w:pPr>
            <w:r>
              <w:rPr>
                <w:rFonts w:hint="eastAsia"/>
                <w:sz w:val="30"/>
                <w:szCs w:val="30"/>
              </w:rPr>
              <w:t>应急通信保障</w:t>
            </w:r>
          </w:p>
        </w:tc>
        <w:tc>
          <w:tcPr>
            <w:tcW w:w="3827" w:type="dxa"/>
            <w:vAlign w:val="center"/>
          </w:tcPr>
          <w:p>
            <w:pPr>
              <w:pStyle w:val="35"/>
              <w:spacing w:line="240" w:lineRule="auto"/>
              <w:ind w:firstLine="0" w:firstLineChars="0"/>
              <w:jc w:val="center"/>
              <w:rPr>
                <w:sz w:val="30"/>
                <w:szCs w:val="30"/>
              </w:rPr>
            </w:pPr>
            <w:r>
              <w:rPr>
                <w:rFonts w:hint="eastAsia"/>
                <w:sz w:val="30"/>
                <w:szCs w:val="30"/>
              </w:rPr>
              <w:t>省交通通信中心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vAlign w:val="center"/>
          </w:tcPr>
          <w:p>
            <w:pPr>
              <w:pStyle w:val="35"/>
              <w:numPr>
                <w:ilvl w:val="0"/>
                <w:numId w:val="6"/>
              </w:numPr>
              <w:spacing w:line="240" w:lineRule="auto"/>
              <w:ind w:firstLineChars="0"/>
              <w:jc w:val="center"/>
              <w:rPr>
                <w:sz w:val="30"/>
                <w:szCs w:val="30"/>
              </w:rPr>
            </w:pPr>
          </w:p>
        </w:tc>
        <w:tc>
          <w:tcPr>
            <w:tcW w:w="3969" w:type="dxa"/>
            <w:vAlign w:val="center"/>
          </w:tcPr>
          <w:p>
            <w:pPr>
              <w:pStyle w:val="35"/>
              <w:spacing w:line="240" w:lineRule="auto"/>
              <w:ind w:firstLine="0" w:firstLineChars="0"/>
              <w:jc w:val="center"/>
              <w:rPr>
                <w:sz w:val="30"/>
                <w:szCs w:val="30"/>
              </w:rPr>
            </w:pPr>
            <w:r>
              <w:rPr>
                <w:rFonts w:hint="eastAsia"/>
                <w:sz w:val="30"/>
                <w:szCs w:val="30"/>
              </w:rPr>
              <w:t>网络安全</w:t>
            </w:r>
          </w:p>
        </w:tc>
        <w:tc>
          <w:tcPr>
            <w:tcW w:w="3827" w:type="dxa"/>
            <w:vAlign w:val="center"/>
          </w:tcPr>
          <w:p>
            <w:pPr>
              <w:pStyle w:val="35"/>
              <w:spacing w:line="240" w:lineRule="auto"/>
              <w:ind w:firstLine="0" w:firstLineChars="0"/>
              <w:jc w:val="center"/>
              <w:rPr>
                <w:sz w:val="30"/>
                <w:szCs w:val="30"/>
              </w:rPr>
            </w:pPr>
            <w:r>
              <w:rPr>
                <w:rFonts w:hint="eastAsia"/>
                <w:sz w:val="30"/>
                <w:szCs w:val="30"/>
              </w:rPr>
              <w:t>省交通通信中心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vAlign w:val="center"/>
          </w:tcPr>
          <w:p>
            <w:pPr>
              <w:pStyle w:val="35"/>
              <w:numPr>
                <w:ilvl w:val="0"/>
                <w:numId w:val="6"/>
              </w:numPr>
              <w:spacing w:line="240" w:lineRule="auto"/>
              <w:ind w:firstLineChars="0"/>
              <w:jc w:val="center"/>
              <w:rPr>
                <w:sz w:val="30"/>
                <w:szCs w:val="30"/>
              </w:rPr>
            </w:pPr>
          </w:p>
        </w:tc>
        <w:tc>
          <w:tcPr>
            <w:tcW w:w="3969" w:type="dxa"/>
            <w:vAlign w:val="center"/>
          </w:tcPr>
          <w:p>
            <w:pPr>
              <w:pStyle w:val="35"/>
              <w:spacing w:line="240" w:lineRule="auto"/>
              <w:ind w:firstLine="0" w:firstLineChars="0"/>
              <w:jc w:val="center"/>
              <w:rPr>
                <w:sz w:val="30"/>
                <w:szCs w:val="30"/>
              </w:rPr>
            </w:pPr>
            <w:r>
              <w:rPr>
                <w:rFonts w:hint="eastAsia"/>
                <w:sz w:val="30"/>
                <w:szCs w:val="30"/>
              </w:rPr>
              <w:t>疫情防控</w:t>
            </w:r>
          </w:p>
        </w:tc>
        <w:tc>
          <w:tcPr>
            <w:tcW w:w="3827" w:type="dxa"/>
            <w:vAlign w:val="center"/>
          </w:tcPr>
          <w:p>
            <w:pPr>
              <w:pStyle w:val="35"/>
              <w:spacing w:line="240" w:lineRule="auto"/>
              <w:ind w:firstLine="0" w:firstLineChars="0"/>
              <w:jc w:val="center"/>
              <w:rPr>
                <w:sz w:val="30"/>
                <w:szCs w:val="30"/>
              </w:rPr>
            </w:pPr>
            <w:r>
              <w:rPr>
                <w:rFonts w:hint="eastAsia"/>
                <w:sz w:val="30"/>
                <w:szCs w:val="30"/>
              </w:rPr>
              <w:t>厅运输管理处</w:t>
            </w:r>
          </w:p>
        </w:tc>
      </w:tr>
    </w:tbl>
    <w:p>
      <w:pPr>
        <w:pStyle w:val="35"/>
        <w:ind w:firstLine="0" w:firstLineChars="0"/>
        <w:sectPr>
          <w:pgSz w:w="11906" w:h="16838"/>
          <w:pgMar w:top="1440" w:right="1800" w:bottom="1440" w:left="1800" w:header="851" w:footer="992" w:gutter="0"/>
          <w:cols w:space="425" w:num="1"/>
          <w:docGrid w:type="lines" w:linePitch="312" w:charSpace="0"/>
        </w:sectPr>
      </w:pPr>
    </w:p>
    <w:p>
      <w:pPr>
        <w:pStyle w:val="31"/>
      </w:pPr>
      <w:bookmarkStart w:id="111" w:name="_Toc94283150"/>
      <w:bookmarkStart w:id="112" w:name="_Toc91166753"/>
      <w:r>
        <w:rPr>
          <w:rFonts w:hint="eastAsia"/>
        </w:rPr>
        <w:t>突发事件信息报告格式</w:t>
      </w:r>
      <w:bookmarkEnd w:id="111"/>
      <w:bookmarkEnd w:id="112"/>
    </w:p>
    <w:p>
      <w:pPr>
        <w:spacing w:line="560" w:lineRule="exact"/>
        <w:jc w:val="center"/>
        <w:rPr>
          <w:rFonts w:ascii="黑体" w:hAnsi="黑体" w:eastAsia="黑体"/>
          <w:sz w:val="36"/>
          <w:szCs w:val="40"/>
        </w:rPr>
      </w:pPr>
    </w:p>
    <w:p>
      <w:pPr>
        <w:spacing w:line="560" w:lineRule="exact"/>
        <w:jc w:val="center"/>
        <w:rPr>
          <w:rFonts w:ascii="黑体" w:hAnsi="黑体" w:eastAsia="黑体"/>
          <w:sz w:val="36"/>
          <w:szCs w:val="40"/>
        </w:rPr>
      </w:pPr>
    </w:p>
    <w:p>
      <w:pPr>
        <w:spacing w:line="560" w:lineRule="exact"/>
        <w:jc w:val="center"/>
        <w:rPr>
          <w:rFonts w:ascii="黑体" w:hAnsi="黑体" w:eastAsia="黑体"/>
          <w:sz w:val="36"/>
          <w:szCs w:val="40"/>
        </w:rPr>
      </w:pPr>
    </w:p>
    <w:p>
      <w:pPr>
        <w:spacing w:line="560" w:lineRule="exact"/>
        <w:jc w:val="center"/>
        <w:rPr>
          <w:rFonts w:ascii="宋体" w:hAnsi="宋体" w:eastAsia="宋体"/>
          <w:b/>
          <w:bCs/>
          <w:sz w:val="44"/>
          <w:szCs w:val="48"/>
        </w:rPr>
      </w:pPr>
      <w:r>
        <w:rPr>
          <w:rFonts w:hint="eastAsia" w:ascii="宋体" w:hAnsi="宋体" w:eastAsia="宋体"/>
          <w:b/>
          <w:bCs/>
          <w:sz w:val="44"/>
          <w:szCs w:val="48"/>
        </w:rPr>
        <w:t>突发事件信息报告</w:t>
      </w:r>
    </w:p>
    <w:p>
      <w:pPr>
        <w:spacing w:line="560" w:lineRule="exact"/>
        <w:contextualSpacing/>
        <w:jc w:val="center"/>
        <w:rPr>
          <w:rFonts w:ascii="Times New Roman" w:hAnsi="Times New Roman" w:eastAsia="楷体" w:cs="Times New Roman"/>
          <w:sz w:val="32"/>
          <w:szCs w:val="32"/>
        </w:rPr>
      </w:pPr>
      <w:r>
        <w:rPr>
          <w:rFonts w:hint="eastAsia" w:ascii="Times New Roman" w:hAnsi="Times New Roman" w:eastAsia="楷体" w:cs="Times New Roman"/>
          <w:sz w:val="32"/>
          <w:szCs w:val="32"/>
        </w:rPr>
        <w:t>（参考）</w:t>
      </w:r>
    </w:p>
    <w:p>
      <w:pPr>
        <w:spacing w:line="560" w:lineRule="exact"/>
        <w:contextualSpacing/>
        <w:rPr>
          <w:rFonts w:ascii="Times New Roman" w:hAnsi="Times New Roman" w:eastAsia="仿宋" w:cs="Times New Roman"/>
          <w:w w:val="99"/>
          <w:sz w:val="30"/>
          <w:szCs w:val="30"/>
          <w:u w:val="single"/>
        </w:rPr>
      </w:pPr>
      <w:bookmarkStart w:id="113" w:name="_Hlk92898004"/>
      <w:r>
        <w:rPr>
          <w:rFonts w:ascii="Times New Roman" w:hAnsi="Times New Roman" w:cs="Times New Roman"/>
          <w:sz w:val="30"/>
          <w:szCs w:val="30"/>
          <w:u w:val="single"/>
        </w:rPr>
        <w:t>　　　　　　　　　</w:t>
      </w:r>
      <w:r>
        <w:rPr>
          <w:rFonts w:hint="eastAsia" w:ascii="Times New Roman" w:hAnsi="Times New Roman" w:eastAsia="仿宋" w:cs="Times New Roman"/>
          <w:w w:val="99"/>
          <w:sz w:val="30"/>
          <w:szCs w:val="30"/>
        </w:rPr>
        <w:t>：</w:t>
      </w:r>
    </w:p>
    <w:p>
      <w:pPr>
        <w:spacing w:line="560" w:lineRule="exact"/>
        <w:ind w:firstLine="600" w:firstLineChars="200"/>
        <w:contextualSpacing/>
        <w:rPr>
          <w:rFonts w:ascii="Times New Roman" w:hAnsi="Times New Roman" w:eastAsia="仿宋" w:cs="Times New Roman"/>
          <w:sz w:val="30"/>
          <w:szCs w:val="30"/>
        </w:rPr>
      </w:pPr>
      <w:r>
        <w:rPr>
          <w:rFonts w:ascii="Times New Roman" w:hAnsi="Times New Roman" w:cs="Times New Roman"/>
          <w:sz w:val="30"/>
          <w:szCs w:val="30"/>
          <w:u w:val="single"/>
        </w:rPr>
        <w:t>　　　</w:t>
      </w:r>
      <w:r>
        <w:rPr>
          <w:rFonts w:hint="eastAsia" w:ascii="Times New Roman" w:hAnsi="Times New Roman" w:eastAsia="仿宋" w:cs="Times New Roman"/>
          <w:sz w:val="30"/>
          <w:szCs w:val="30"/>
        </w:rPr>
        <w:t>年</w:t>
      </w:r>
      <w:r>
        <w:rPr>
          <w:rFonts w:ascii="Times New Roman" w:hAnsi="Times New Roman" w:cs="Times New Roman"/>
          <w:sz w:val="30"/>
          <w:szCs w:val="30"/>
          <w:u w:val="single"/>
        </w:rPr>
        <w:t>　　</w:t>
      </w:r>
      <w:r>
        <w:rPr>
          <w:rFonts w:hint="eastAsia" w:ascii="Times New Roman" w:hAnsi="Times New Roman" w:eastAsia="仿宋" w:cs="Times New Roman"/>
          <w:sz w:val="30"/>
          <w:szCs w:val="30"/>
        </w:rPr>
        <w:t>月</w:t>
      </w:r>
      <w:r>
        <w:rPr>
          <w:rFonts w:ascii="Times New Roman" w:hAnsi="Times New Roman" w:cs="Times New Roman"/>
          <w:sz w:val="30"/>
          <w:szCs w:val="30"/>
          <w:u w:val="single"/>
        </w:rPr>
        <w:t>　　</w:t>
      </w:r>
      <w:r>
        <w:rPr>
          <w:rFonts w:hint="eastAsia" w:ascii="Times New Roman" w:hAnsi="Times New Roman" w:eastAsia="仿宋" w:cs="Times New Roman"/>
          <w:sz w:val="30"/>
          <w:szCs w:val="30"/>
        </w:rPr>
        <w:t>日</w:t>
      </w:r>
      <w:r>
        <w:rPr>
          <w:rFonts w:ascii="Times New Roman" w:hAnsi="Times New Roman" w:cs="Times New Roman"/>
          <w:sz w:val="30"/>
          <w:szCs w:val="30"/>
          <w:u w:val="single"/>
        </w:rPr>
        <w:t>　　</w:t>
      </w:r>
      <w:r>
        <w:rPr>
          <w:rFonts w:hint="eastAsia" w:ascii="Times New Roman" w:hAnsi="Times New Roman" w:eastAsia="仿宋" w:cs="Times New Roman"/>
          <w:sz w:val="30"/>
          <w:szCs w:val="30"/>
        </w:rPr>
        <w:t>时</w:t>
      </w:r>
      <w:r>
        <w:rPr>
          <w:rFonts w:ascii="Times New Roman" w:hAnsi="Times New Roman" w:cs="Times New Roman"/>
          <w:sz w:val="30"/>
          <w:szCs w:val="30"/>
          <w:u w:val="single"/>
        </w:rPr>
        <w:t>　　</w:t>
      </w:r>
      <w:r>
        <w:rPr>
          <w:rFonts w:hint="eastAsia" w:ascii="Times New Roman" w:hAnsi="Times New Roman" w:eastAsia="仿宋" w:cs="Times New Roman"/>
          <w:sz w:val="30"/>
          <w:szCs w:val="30"/>
        </w:rPr>
        <w:t>分接</w:t>
      </w:r>
      <w:r>
        <w:rPr>
          <w:rFonts w:hint="eastAsia" w:ascii="Times New Roman" w:hAnsi="Times New Roman" w:eastAsia="仿宋" w:cs="Times New Roman"/>
          <w:sz w:val="30"/>
          <w:szCs w:val="30"/>
          <w:u w:val="single"/>
        </w:rPr>
        <w:t xml:space="preserve"> </w:t>
      </w:r>
      <w:r>
        <w:rPr>
          <w:rFonts w:ascii="Times New Roman" w:hAnsi="Times New Roman" w:eastAsia="仿宋" w:cs="Times New Roman"/>
          <w:sz w:val="30"/>
          <w:szCs w:val="30"/>
          <w:u w:val="single"/>
        </w:rPr>
        <w:t xml:space="preserve"> </w:t>
      </w:r>
      <w:r>
        <w:rPr>
          <w:rFonts w:hint="eastAsia" w:ascii="Times New Roman" w:hAnsi="Times New Roman" w:eastAsia="仿宋" w:cs="Times New Roman"/>
          <w:sz w:val="30"/>
          <w:szCs w:val="30"/>
          <w:u w:val="single"/>
        </w:rPr>
        <w:t>（信息来源）</w:t>
      </w:r>
      <w:r>
        <w:rPr>
          <w:rFonts w:ascii="Times New Roman" w:hAnsi="Times New Roman" w:eastAsia="仿宋" w:cs="Times New Roman"/>
          <w:sz w:val="30"/>
          <w:szCs w:val="30"/>
          <w:u w:val="single"/>
        </w:rPr>
        <w:t xml:space="preserve">  </w:t>
      </w:r>
      <w:r>
        <w:rPr>
          <w:rFonts w:hint="eastAsia" w:ascii="Times New Roman" w:hAnsi="Times New Roman" w:eastAsia="仿宋" w:cs="Times New Roman"/>
          <w:sz w:val="30"/>
          <w:szCs w:val="30"/>
        </w:rPr>
        <w:t>报告。于</w:t>
      </w:r>
      <w:r>
        <w:rPr>
          <w:rFonts w:ascii="Times New Roman" w:hAnsi="Times New Roman" w:cs="Times New Roman"/>
          <w:sz w:val="30"/>
          <w:szCs w:val="30"/>
          <w:u w:val="single"/>
        </w:rPr>
        <w:t>　　　</w:t>
      </w:r>
      <w:r>
        <w:rPr>
          <w:rFonts w:hint="eastAsia" w:ascii="Times New Roman" w:hAnsi="Times New Roman" w:eastAsia="仿宋" w:cs="Times New Roman"/>
          <w:sz w:val="30"/>
          <w:szCs w:val="30"/>
        </w:rPr>
        <w:t>年</w:t>
      </w:r>
      <w:r>
        <w:rPr>
          <w:rFonts w:ascii="Times New Roman" w:hAnsi="Times New Roman" w:cs="Times New Roman"/>
          <w:sz w:val="30"/>
          <w:szCs w:val="30"/>
          <w:u w:val="single"/>
        </w:rPr>
        <w:t>　　</w:t>
      </w:r>
      <w:r>
        <w:rPr>
          <w:rFonts w:hint="eastAsia" w:ascii="Times New Roman" w:hAnsi="Times New Roman" w:eastAsia="仿宋" w:cs="Times New Roman"/>
          <w:sz w:val="30"/>
          <w:szCs w:val="30"/>
        </w:rPr>
        <w:t>月</w:t>
      </w:r>
      <w:r>
        <w:rPr>
          <w:rFonts w:ascii="Times New Roman" w:hAnsi="Times New Roman" w:cs="Times New Roman"/>
          <w:sz w:val="30"/>
          <w:szCs w:val="30"/>
          <w:u w:val="single"/>
        </w:rPr>
        <w:t>　　</w:t>
      </w:r>
      <w:r>
        <w:rPr>
          <w:rFonts w:hint="eastAsia" w:ascii="Times New Roman" w:hAnsi="Times New Roman" w:eastAsia="仿宋" w:cs="Times New Roman"/>
          <w:sz w:val="30"/>
          <w:szCs w:val="30"/>
        </w:rPr>
        <w:t>日</w:t>
      </w:r>
      <w:r>
        <w:rPr>
          <w:rFonts w:ascii="Times New Roman" w:hAnsi="Times New Roman" w:cs="Times New Roman"/>
          <w:sz w:val="30"/>
          <w:szCs w:val="30"/>
          <w:u w:val="single"/>
        </w:rPr>
        <w:t>　　</w:t>
      </w:r>
      <w:r>
        <w:rPr>
          <w:rFonts w:hint="eastAsia" w:ascii="Times New Roman" w:hAnsi="Times New Roman" w:eastAsia="仿宋" w:cs="Times New Roman"/>
          <w:sz w:val="30"/>
          <w:szCs w:val="30"/>
        </w:rPr>
        <w:t>时</w:t>
      </w:r>
      <w:r>
        <w:rPr>
          <w:rFonts w:ascii="Times New Roman" w:hAnsi="Times New Roman" w:cs="Times New Roman"/>
          <w:sz w:val="30"/>
          <w:szCs w:val="30"/>
          <w:u w:val="single"/>
        </w:rPr>
        <w:t>　　</w:t>
      </w:r>
      <w:r>
        <w:rPr>
          <w:rFonts w:hint="eastAsia" w:ascii="Times New Roman" w:hAnsi="Times New Roman" w:eastAsia="仿宋" w:cs="Times New Roman"/>
          <w:sz w:val="30"/>
          <w:szCs w:val="30"/>
        </w:rPr>
        <w:t>分，在</w:t>
      </w:r>
      <w:r>
        <w:rPr>
          <w:rFonts w:ascii="Times New Roman" w:hAnsi="Times New Roman" w:cs="Times New Roman"/>
          <w:sz w:val="30"/>
          <w:szCs w:val="30"/>
          <w:u w:val="single"/>
        </w:rPr>
        <w:t>　　</w:t>
      </w:r>
      <w:r>
        <w:rPr>
          <w:rFonts w:hint="eastAsia" w:ascii="Times New Roman" w:hAnsi="Times New Roman" w:eastAsia="仿宋" w:cs="Times New Roman"/>
          <w:sz w:val="30"/>
          <w:szCs w:val="30"/>
        </w:rPr>
        <w:t>市</w:t>
      </w:r>
      <w:r>
        <w:rPr>
          <w:rFonts w:ascii="Times New Roman" w:hAnsi="Times New Roman" w:cs="Times New Roman"/>
          <w:sz w:val="30"/>
          <w:szCs w:val="30"/>
          <w:u w:val="single"/>
        </w:rPr>
        <w:t>　</w:t>
      </w:r>
      <w:r>
        <w:rPr>
          <w:rFonts w:hint="eastAsia" w:ascii="Times New Roman" w:hAnsi="Times New Roman" w:eastAsia="仿宋" w:cs="Times New Roman"/>
          <w:sz w:val="30"/>
          <w:szCs w:val="30"/>
        </w:rPr>
        <w:t>县</w:t>
      </w:r>
      <w:r>
        <w:rPr>
          <w:rFonts w:hint="eastAsia" w:ascii="Times New Roman" w:hAnsi="Times New Roman" w:eastAsia="仿宋" w:cs="Times New Roman"/>
          <w:sz w:val="30"/>
          <w:szCs w:val="30"/>
          <w:u w:val="single"/>
        </w:rPr>
        <w:t>（具体场所）</w:t>
      </w:r>
      <w:r>
        <w:rPr>
          <w:rFonts w:hint="eastAsia" w:ascii="Times New Roman" w:hAnsi="Times New Roman" w:eastAsia="仿宋" w:cs="Times New Roman"/>
          <w:sz w:val="30"/>
          <w:szCs w:val="30"/>
        </w:rPr>
        <w:t>处发生</w:t>
      </w:r>
      <w:r>
        <w:rPr>
          <w:rFonts w:ascii="Times New Roman" w:hAnsi="Times New Roman" w:cs="Times New Roman"/>
          <w:sz w:val="30"/>
          <w:szCs w:val="30"/>
          <w:u w:val="single"/>
        </w:rPr>
        <w:t>　　　　　　</w:t>
      </w:r>
      <w:r>
        <w:rPr>
          <w:rFonts w:hint="eastAsia" w:ascii="Times New Roman" w:hAnsi="Times New Roman" w:eastAsia="仿宋" w:cs="Times New Roman"/>
          <w:sz w:val="30"/>
          <w:szCs w:val="30"/>
        </w:rPr>
        <w:t>事件，造成事件的原因是</w:t>
      </w:r>
      <w:r>
        <w:rPr>
          <w:rFonts w:hint="eastAsia" w:ascii="Times New Roman" w:hAnsi="Times New Roman" w:eastAsia="仿宋" w:cs="Times New Roman"/>
          <w:sz w:val="30"/>
          <w:szCs w:val="30"/>
          <w:u w:val="single"/>
        </w:rPr>
        <w:t>（描述事件起因）</w:t>
      </w:r>
      <w:r>
        <w:rPr>
          <w:rFonts w:ascii="Times New Roman" w:hAnsi="Times New Roman" w:cs="Times New Roman"/>
          <w:sz w:val="30"/>
          <w:szCs w:val="30"/>
          <w:u w:val="single"/>
        </w:rPr>
        <w:t>　　　　</w:t>
      </w:r>
      <w:r>
        <w:rPr>
          <w:rFonts w:hint="eastAsia" w:ascii="Times New Roman" w:hAnsi="Times New Roman" w:eastAsia="仿宋" w:cs="Times New Roman"/>
          <w:sz w:val="30"/>
          <w:szCs w:val="30"/>
        </w:rPr>
        <w:t>。截至目前，已造成</w:t>
      </w:r>
      <w:r>
        <w:rPr>
          <w:rFonts w:hint="eastAsia" w:ascii="Times New Roman" w:hAnsi="Times New Roman" w:eastAsia="仿宋" w:cs="Times New Roman"/>
          <w:sz w:val="30"/>
          <w:szCs w:val="30"/>
          <w:u w:val="single"/>
        </w:rPr>
        <w:t>（人员伤亡数量、财物损失等情况，以及被困人员情况和可能造成的人员伤亡数量、财物损失等相关情况）</w:t>
      </w:r>
      <w:r>
        <w:rPr>
          <w:rFonts w:ascii="Times New Roman" w:hAnsi="Times New Roman" w:cs="Times New Roman"/>
          <w:sz w:val="30"/>
          <w:szCs w:val="30"/>
          <w:u w:val="single"/>
        </w:rPr>
        <w:t>　　　　　　</w:t>
      </w:r>
      <w:r>
        <w:rPr>
          <w:rFonts w:hint="eastAsia" w:ascii="Times New Roman" w:hAnsi="Times New Roman" w:eastAsia="仿宋" w:cs="Times New Roman"/>
          <w:sz w:val="30"/>
          <w:szCs w:val="30"/>
        </w:rPr>
        <w:t>。</w:t>
      </w:r>
      <w:bookmarkEnd w:id="113"/>
    </w:p>
    <w:p>
      <w:pPr>
        <w:spacing w:line="560" w:lineRule="exact"/>
        <w:ind w:firstLine="600" w:firstLineChars="200"/>
        <w:contextualSpacing/>
        <w:rPr>
          <w:rFonts w:ascii="Times New Roman" w:hAnsi="Times New Roman" w:eastAsia="仿宋" w:cs="Times New Roman"/>
          <w:sz w:val="30"/>
          <w:szCs w:val="30"/>
        </w:rPr>
      </w:pPr>
      <w:r>
        <w:rPr>
          <w:rFonts w:hint="eastAsia" w:ascii="Times New Roman" w:hAnsi="Times New Roman" w:eastAsia="仿宋" w:cs="Times New Roman"/>
          <w:sz w:val="30"/>
          <w:szCs w:val="30"/>
          <w:u w:val="single"/>
        </w:rPr>
        <w:t>（已采取的应急措施）</w:t>
      </w:r>
      <w:r>
        <w:rPr>
          <w:rFonts w:ascii="Times New Roman" w:hAnsi="Times New Roman" w:cs="Times New Roman"/>
          <w:sz w:val="30"/>
          <w:szCs w:val="30"/>
          <w:u w:val="single"/>
        </w:rPr>
        <w:t>　　　　　　　　　　　　　</w:t>
      </w:r>
      <w:r>
        <w:rPr>
          <w:rFonts w:hint="eastAsia" w:ascii="Times New Roman" w:hAnsi="Times New Roman" w:eastAsia="仿宋" w:cs="Times New Roman"/>
          <w:sz w:val="30"/>
          <w:szCs w:val="30"/>
        </w:rPr>
        <w:t>，以及</w:t>
      </w:r>
      <w:r>
        <w:rPr>
          <w:rFonts w:hint="eastAsia" w:ascii="Times New Roman" w:hAnsi="Times New Roman" w:eastAsia="仿宋" w:cs="Times New Roman"/>
          <w:sz w:val="30"/>
          <w:szCs w:val="30"/>
          <w:u w:val="single"/>
        </w:rPr>
        <w:t>（是否向公安、消防、急救等相关部门）请求救援</w:t>
      </w:r>
      <w:r>
        <w:rPr>
          <w:rFonts w:hint="eastAsia" w:ascii="Times New Roman" w:hAnsi="Times New Roman" w:eastAsia="仿宋" w:cs="Times New Roman"/>
          <w:sz w:val="30"/>
          <w:szCs w:val="30"/>
        </w:rPr>
        <w:t>。</w:t>
      </w:r>
    </w:p>
    <w:p>
      <w:pPr>
        <w:spacing w:line="560" w:lineRule="exact"/>
        <w:ind w:firstLine="600" w:firstLineChars="200"/>
        <w:contextualSpacing/>
        <w:rPr>
          <w:rFonts w:ascii="Times New Roman" w:hAnsi="Times New Roman" w:eastAsia="仿宋" w:cs="Times New Roman"/>
          <w:sz w:val="30"/>
          <w:szCs w:val="30"/>
        </w:rPr>
      </w:pPr>
      <w:r>
        <w:rPr>
          <w:rFonts w:hint="eastAsia" w:ascii="Times New Roman" w:hAnsi="Times New Roman" w:eastAsia="仿宋" w:cs="Times New Roman"/>
          <w:sz w:val="30"/>
          <w:szCs w:val="30"/>
        </w:rPr>
        <w:t>（突发事件发展趋势，下一步的工作计划和其他需要报告的内容。）</w:t>
      </w:r>
    </w:p>
    <w:p>
      <w:pPr>
        <w:spacing w:line="560" w:lineRule="exact"/>
        <w:ind w:firstLine="600" w:firstLineChars="200"/>
        <w:contextualSpacing/>
        <w:rPr>
          <w:rFonts w:ascii="Times New Roman" w:hAnsi="Times New Roman" w:eastAsia="仿宋" w:cs="Times New Roman"/>
          <w:sz w:val="30"/>
          <w:szCs w:val="30"/>
        </w:rPr>
      </w:pPr>
      <w:r>
        <w:rPr>
          <w:rFonts w:hint="eastAsia" w:ascii="Times New Roman" w:hAnsi="Times New Roman" w:eastAsia="仿宋" w:cs="Times New Roman"/>
          <w:sz w:val="30"/>
          <w:szCs w:val="30"/>
        </w:rPr>
        <w:t>（本报告为第X次报告，是否为终报。）</w:t>
      </w:r>
    </w:p>
    <w:p>
      <w:pPr>
        <w:spacing w:line="560" w:lineRule="exact"/>
        <w:ind w:firstLine="600" w:firstLineChars="200"/>
        <w:contextualSpacing/>
        <w:rPr>
          <w:rFonts w:ascii="Times New Roman" w:hAnsi="Times New Roman" w:eastAsia="仿宋" w:cs="Times New Roman"/>
          <w:sz w:val="30"/>
          <w:szCs w:val="30"/>
        </w:rPr>
      </w:pPr>
    </w:p>
    <w:p>
      <w:pPr>
        <w:spacing w:line="560" w:lineRule="exact"/>
        <w:ind w:firstLine="2700" w:firstLineChars="900"/>
        <w:contextualSpacing/>
        <w:rPr>
          <w:rFonts w:ascii="Times New Roman" w:hAnsi="Times New Roman" w:eastAsia="仿宋" w:cs="Times New Roman"/>
          <w:sz w:val="30"/>
          <w:szCs w:val="30"/>
        </w:rPr>
      </w:pPr>
      <w:r>
        <w:rPr>
          <w:rFonts w:hint="eastAsia" w:ascii="Times New Roman" w:hAnsi="Times New Roman" w:eastAsia="仿宋" w:cs="Times New Roman"/>
          <w:sz w:val="30"/>
          <w:szCs w:val="30"/>
        </w:rPr>
        <w:t>报告单位：</w:t>
      </w:r>
      <w:r>
        <w:rPr>
          <w:rFonts w:hint="eastAsia" w:ascii="Times New Roman" w:hAnsi="Times New Roman" w:eastAsia="仿宋" w:cs="Times New Roman"/>
          <w:sz w:val="30"/>
          <w:szCs w:val="30"/>
          <w:u w:val="single"/>
        </w:rPr>
        <w:t xml:space="preserve"> </w:t>
      </w:r>
      <w:r>
        <w:rPr>
          <w:rFonts w:ascii="Times New Roman" w:hAnsi="Times New Roman" w:eastAsia="仿宋" w:cs="Times New Roman"/>
          <w:sz w:val="30"/>
          <w:szCs w:val="30"/>
          <w:u w:val="single"/>
        </w:rPr>
        <w:t xml:space="preserve">                     </w:t>
      </w:r>
      <w:r>
        <w:rPr>
          <w:rFonts w:hint="eastAsia" w:ascii="Times New Roman" w:hAnsi="Times New Roman" w:eastAsia="仿宋" w:cs="Times New Roman"/>
          <w:sz w:val="30"/>
          <w:szCs w:val="30"/>
          <w:u w:val="single"/>
        </w:rPr>
        <w:t>（盖章）</w:t>
      </w:r>
    </w:p>
    <w:p>
      <w:pPr>
        <w:spacing w:line="560" w:lineRule="exact"/>
        <w:ind w:firstLine="2700" w:firstLineChars="900"/>
        <w:contextualSpacing/>
        <w:rPr>
          <w:rFonts w:ascii="Times New Roman" w:hAnsi="Times New Roman" w:eastAsia="仿宋" w:cs="Times New Roman"/>
          <w:sz w:val="30"/>
          <w:szCs w:val="30"/>
        </w:rPr>
      </w:pPr>
      <w:r>
        <w:rPr>
          <w:rFonts w:hint="eastAsia" w:ascii="Times New Roman" w:hAnsi="Times New Roman" w:eastAsia="仿宋" w:cs="Times New Roman"/>
          <w:sz w:val="30"/>
          <w:szCs w:val="30"/>
        </w:rPr>
        <w:t>单位负责人：</w:t>
      </w:r>
      <w:r>
        <w:rPr>
          <w:rFonts w:hint="eastAsia" w:ascii="Times New Roman" w:hAnsi="Times New Roman" w:eastAsia="仿宋" w:cs="Times New Roman"/>
          <w:sz w:val="30"/>
          <w:szCs w:val="30"/>
          <w:u w:val="single"/>
        </w:rPr>
        <w:t xml:space="preserve"> </w:t>
      </w:r>
      <w:r>
        <w:rPr>
          <w:rFonts w:ascii="Times New Roman" w:hAnsi="Times New Roman" w:eastAsia="仿宋" w:cs="Times New Roman"/>
          <w:sz w:val="30"/>
          <w:szCs w:val="30"/>
          <w:u w:val="single"/>
        </w:rPr>
        <w:t xml:space="preserve">                   </w:t>
      </w:r>
      <w:r>
        <w:rPr>
          <w:rFonts w:hint="eastAsia" w:ascii="Times New Roman" w:hAnsi="Times New Roman" w:eastAsia="仿宋" w:cs="Times New Roman"/>
          <w:sz w:val="30"/>
          <w:szCs w:val="30"/>
          <w:u w:val="single"/>
        </w:rPr>
        <w:t>（签字）</w:t>
      </w:r>
    </w:p>
    <w:p>
      <w:pPr>
        <w:spacing w:line="560" w:lineRule="exact"/>
        <w:ind w:firstLine="2700" w:firstLineChars="900"/>
        <w:contextualSpacing/>
        <w:rPr>
          <w:rFonts w:ascii="Times New Roman" w:hAnsi="Times New Roman" w:eastAsia="仿宋" w:cs="Times New Roman"/>
          <w:sz w:val="30"/>
          <w:szCs w:val="30"/>
        </w:rPr>
      </w:pPr>
      <w:r>
        <w:rPr>
          <w:rFonts w:hint="eastAsia" w:ascii="Times New Roman" w:hAnsi="Times New Roman" w:eastAsia="仿宋" w:cs="Times New Roman"/>
          <w:sz w:val="30"/>
          <w:szCs w:val="30"/>
        </w:rPr>
        <w:t>报 告 人：</w:t>
      </w:r>
      <w:r>
        <w:rPr>
          <w:rFonts w:hint="eastAsia" w:ascii="Times New Roman" w:hAnsi="Times New Roman" w:eastAsia="仿宋" w:cs="Times New Roman"/>
          <w:sz w:val="30"/>
          <w:szCs w:val="30"/>
          <w:u w:val="single"/>
        </w:rPr>
        <w:t xml:space="preserve"> </w:t>
      </w:r>
      <w:r>
        <w:rPr>
          <w:rFonts w:ascii="Times New Roman" w:hAnsi="Times New Roman" w:eastAsia="仿宋" w:cs="Times New Roman"/>
          <w:sz w:val="30"/>
          <w:szCs w:val="30"/>
          <w:u w:val="single"/>
        </w:rPr>
        <w:t xml:space="preserve">                          </w:t>
      </w:r>
    </w:p>
    <w:p>
      <w:pPr>
        <w:spacing w:line="560" w:lineRule="exact"/>
        <w:ind w:firstLine="2700" w:firstLineChars="900"/>
        <w:contextualSpacing/>
        <w:rPr>
          <w:rFonts w:ascii="Times New Roman" w:hAnsi="Times New Roman" w:eastAsia="仿宋" w:cs="Times New Roman"/>
          <w:sz w:val="30"/>
          <w:szCs w:val="30"/>
        </w:rPr>
      </w:pPr>
      <w:r>
        <w:rPr>
          <w:rFonts w:hint="eastAsia" w:ascii="Times New Roman" w:hAnsi="Times New Roman" w:eastAsia="仿宋" w:cs="Times New Roman"/>
          <w:sz w:val="30"/>
          <w:szCs w:val="30"/>
        </w:rPr>
        <w:t>联系电话：</w:t>
      </w:r>
      <w:r>
        <w:rPr>
          <w:rFonts w:hint="eastAsia" w:ascii="Times New Roman" w:hAnsi="Times New Roman" w:eastAsia="仿宋" w:cs="Times New Roman"/>
          <w:sz w:val="30"/>
          <w:szCs w:val="30"/>
          <w:u w:val="single"/>
        </w:rPr>
        <w:t xml:space="preserve"> </w:t>
      </w:r>
      <w:r>
        <w:rPr>
          <w:rFonts w:ascii="Times New Roman" w:hAnsi="Times New Roman" w:eastAsia="仿宋" w:cs="Times New Roman"/>
          <w:sz w:val="30"/>
          <w:szCs w:val="30"/>
          <w:u w:val="single"/>
        </w:rPr>
        <w:t xml:space="preserve">                          </w:t>
      </w:r>
    </w:p>
    <w:p>
      <w:pPr>
        <w:spacing w:line="560" w:lineRule="exact"/>
        <w:ind w:firstLine="2700" w:firstLineChars="900"/>
        <w:contextualSpacing/>
        <w:rPr>
          <w:rFonts w:ascii="Times New Roman" w:hAnsi="Times New Roman" w:eastAsia="仿宋" w:cs="Times New Roman"/>
          <w:sz w:val="30"/>
          <w:szCs w:val="30"/>
        </w:rPr>
      </w:pPr>
      <w:r>
        <w:rPr>
          <w:rFonts w:hint="eastAsia" w:ascii="Times New Roman" w:hAnsi="Times New Roman" w:eastAsia="仿宋" w:cs="Times New Roman"/>
          <w:sz w:val="30"/>
          <w:szCs w:val="30"/>
        </w:rPr>
        <w:t>报告时间：</w:t>
      </w:r>
      <w:r>
        <w:rPr>
          <w:rFonts w:hint="eastAsia" w:ascii="Times New Roman" w:hAnsi="Times New Roman" w:eastAsia="仿宋" w:cs="Times New Roman"/>
          <w:sz w:val="30"/>
          <w:szCs w:val="30"/>
          <w:u w:val="single"/>
        </w:rPr>
        <w:t xml:space="preserve"> </w:t>
      </w:r>
      <w:r>
        <w:rPr>
          <w:rFonts w:ascii="Times New Roman" w:hAnsi="Times New Roman" w:eastAsia="仿宋" w:cs="Times New Roman"/>
          <w:sz w:val="30"/>
          <w:szCs w:val="30"/>
          <w:u w:val="single"/>
        </w:rPr>
        <w:t xml:space="preserve">                          </w:t>
      </w:r>
    </w:p>
    <w:p>
      <w:pPr>
        <w:pStyle w:val="35"/>
        <w:ind w:firstLine="0" w:firstLineChars="0"/>
        <w:rPr>
          <w:rFonts w:ascii="宋体" w:hAnsi="宋体" w:eastAsia="宋体"/>
          <w:sz w:val="22"/>
          <w:szCs w:val="22"/>
        </w:rPr>
        <w:sectPr>
          <w:pgSz w:w="11906" w:h="16838"/>
          <w:pgMar w:top="1440" w:right="1800" w:bottom="1440" w:left="1800" w:header="851" w:footer="992" w:gutter="0"/>
          <w:cols w:space="425" w:num="1"/>
          <w:docGrid w:type="lines" w:linePitch="312" w:charSpace="0"/>
        </w:sectPr>
      </w:pPr>
    </w:p>
    <w:p>
      <w:pPr>
        <w:pStyle w:val="31"/>
        <w:numPr>
          <w:ilvl w:val="0"/>
          <w:numId w:val="3"/>
        </w:numPr>
        <w:spacing w:line="560" w:lineRule="exact"/>
      </w:pPr>
      <w:bookmarkStart w:id="114" w:name="_Toc94283151"/>
      <w:bookmarkStart w:id="115" w:name="_Toc91166754"/>
      <w:r>
        <w:rPr>
          <w:rFonts w:hint="eastAsia"/>
        </w:rPr>
        <w:t>应急响应启动通知格式</w:t>
      </w:r>
      <w:bookmarkEnd w:id="114"/>
      <w:bookmarkEnd w:id="115"/>
    </w:p>
    <w:p>
      <w:pPr>
        <w:spacing w:line="560" w:lineRule="exact"/>
        <w:jc w:val="center"/>
        <w:rPr>
          <w:rFonts w:ascii="黑体" w:hAnsi="黑体" w:eastAsia="黑体"/>
          <w:sz w:val="36"/>
          <w:szCs w:val="40"/>
        </w:rPr>
      </w:pPr>
    </w:p>
    <w:p>
      <w:pPr>
        <w:spacing w:line="560" w:lineRule="exact"/>
        <w:jc w:val="center"/>
        <w:rPr>
          <w:rFonts w:ascii="黑体" w:hAnsi="黑体" w:eastAsia="黑体"/>
          <w:sz w:val="36"/>
          <w:szCs w:val="40"/>
        </w:rPr>
      </w:pPr>
    </w:p>
    <w:p>
      <w:pPr>
        <w:spacing w:line="560" w:lineRule="exact"/>
        <w:jc w:val="center"/>
        <w:rPr>
          <w:rFonts w:ascii="宋体" w:hAnsi="宋体" w:eastAsia="宋体"/>
          <w:b/>
          <w:bCs/>
          <w:sz w:val="44"/>
          <w:szCs w:val="48"/>
        </w:rPr>
      </w:pPr>
      <w:r>
        <w:rPr>
          <w:rFonts w:hint="eastAsia" w:ascii="宋体" w:hAnsi="宋体" w:eastAsia="宋体"/>
          <w:b/>
          <w:bCs/>
          <w:sz w:val="44"/>
          <w:szCs w:val="48"/>
        </w:rPr>
        <w:t>河南省交通运输厅突发事件应急指挥部</w:t>
      </w:r>
    </w:p>
    <w:p>
      <w:pPr>
        <w:spacing w:line="560" w:lineRule="exact"/>
        <w:jc w:val="center"/>
        <w:rPr>
          <w:rFonts w:ascii="宋体" w:hAnsi="宋体" w:eastAsia="宋体"/>
          <w:b/>
          <w:bCs/>
          <w:sz w:val="44"/>
          <w:szCs w:val="48"/>
        </w:rPr>
      </w:pPr>
      <w:r>
        <w:rPr>
          <w:rFonts w:hint="eastAsia" w:ascii="宋体" w:hAnsi="宋体" w:eastAsia="宋体"/>
          <w:b/>
          <w:bCs/>
          <w:sz w:val="44"/>
          <w:szCs w:val="48"/>
        </w:rPr>
        <w:t>关于启动（调整）（Ⅰ.Ⅱ.Ⅲ.Ⅳ）级应急响应的通知</w:t>
      </w:r>
    </w:p>
    <w:p>
      <w:pPr>
        <w:spacing w:line="560" w:lineRule="exact"/>
        <w:contextualSpacing/>
        <w:jc w:val="center"/>
        <w:rPr>
          <w:rFonts w:ascii="Times New Roman" w:hAnsi="Times New Roman" w:eastAsia="楷体" w:cs="Times New Roman"/>
          <w:sz w:val="32"/>
          <w:szCs w:val="32"/>
        </w:rPr>
      </w:pPr>
      <w:r>
        <w:rPr>
          <w:rFonts w:hint="eastAsia" w:ascii="Times New Roman" w:hAnsi="Times New Roman" w:eastAsia="楷体" w:cs="Times New Roman"/>
          <w:sz w:val="32"/>
          <w:szCs w:val="32"/>
        </w:rPr>
        <w:t>（参考）</w:t>
      </w:r>
    </w:p>
    <w:p>
      <w:pPr>
        <w:spacing w:line="560" w:lineRule="exact"/>
        <w:jc w:val="right"/>
        <w:rPr>
          <w:rFonts w:ascii="仿宋" w:hAnsi="仿宋" w:eastAsia="仿宋"/>
          <w:sz w:val="32"/>
          <w:szCs w:val="36"/>
        </w:rPr>
      </w:pPr>
    </w:p>
    <w:p>
      <w:pPr>
        <w:pStyle w:val="35"/>
        <w:ind w:firstLine="0" w:firstLineChars="0"/>
        <w:rPr>
          <w:rFonts w:ascii="仿宋_GB2312" w:hAnsi="仿宋_GB2312" w:eastAsia="仿宋_GB2312" w:cs="仿宋_GB2312"/>
        </w:rPr>
      </w:pPr>
      <w:r>
        <w:rPr>
          <w:rFonts w:hint="eastAsia" w:ascii="仿宋_GB2312" w:hAnsi="仿宋_GB2312" w:eastAsia="仿宋_GB2312" w:cs="仿宋_GB2312"/>
        </w:rPr>
        <w:t>各省辖市、济源示范区、省直管县（市）交通运输局，各成员单位：</w:t>
      </w:r>
    </w:p>
    <w:p>
      <w:pPr>
        <w:pStyle w:val="35"/>
        <w:ind w:firstLine="0" w:firstLineChars="0"/>
        <w:rPr>
          <w:rFonts w:ascii="仿宋_GB2312" w:hAnsi="仿宋_GB2312" w:eastAsia="仿宋_GB2312" w:cs="仿宋_GB2312"/>
        </w:rPr>
      </w:pPr>
    </w:p>
    <w:p>
      <w:pPr>
        <w:spacing w:line="560" w:lineRule="exact"/>
        <w:ind w:firstLine="640" w:firstLineChars="200"/>
        <w:rPr>
          <w:rFonts w:ascii="仿宋" w:hAnsi="仿宋" w:eastAsia="仿宋"/>
          <w:sz w:val="32"/>
          <w:szCs w:val="36"/>
        </w:rPr>
      </w:pPr>
      <w:r>
        <w:rPr>
          <w:rFonts w:hint="eastAsia" w:ascii="仿宋" w:hAnsi="仿宋" w:eastAsia="仿宋"/>
          <w:sz w:val="32"/>
          <w:szCs w:val="36"/>
        </w:rPr>
        <w:t>XXXX</w:t>
      </w:r>
      <w:r>
        <w:rPr>
          <w:rFonts w:ascii="仿宋" w:hAnsi="仿宋" w:eastAsia="仿宋"/>
          <w:sz w:val="32"/>
          <w:szCs w:val="36"/>
        </w:rPr>
        <w:t>年</w:t>
      </w:r>
      <w:r>
        <w:rPr>
          <w:rFonts w:hint="eastAsia" w:ascii="仿宋" w:hAnsi="仿宋" w:eastAsia="仿宋"/>
          <w:sz w:val="32"/>
          <w:szCs w:val="36"/>
        </w:rPr>
        <w:t>XX</w:t>
      </w:r>
      <w:r>
        <w:rPr>
          <w:rFonts w:ascii="仿宋" w:hAnsi="仿宋" w:eastAsia="仿宋"/>
          <w:sz w:val="32"/>
          <w:szCs w:val="36"/>
        </w:rPr>
        <w:t>月</w:t>
      </w:r>
      <w:r>
        <w:rPr>
          <w:rFonts w:hint="eastAsia" w:ascii="仿宋" w:hAnsi="仿宋" w:eastAsia="仿宋"/>
          <w:sz w:val="32"/>
          <w:szCs w:val="36"/>
        </w:rPr>
        <w:t>XX</w:t>
      </w:r>
      <w:r>
        <w:rPr>
          <w:rFonts w:ascii="仿宋" w:hAnsi="仿宋" w:eastAsia="仿宋"/>
          <w:sz w:val="32"/>
          <w:szCs w:val="36"/>
        </w:rPr>
        <w:t>日</w:t>
      </w:r>
      <w:r>
        <w:rPr>
          <w:rFonts w:hint="eastAsia" w:ascii="仿宋" w:hAnsi="仿宋" w:eastAsia="仿宋"/>
          <w:sz w:val="32"/>
          <w:szCs w:val="36"/>
        </w:rPr>
        <w:t>XX</w:t>
      </w:r>
      <w:r>
        <w:rPr>
          <w:rFonts w:ascii="仿宋" w:hAnsi="仿宋" w:eastAsia="仿宋"/>
          <w:sz w:val="32"/>
          <w:szCs w:val="36"/>
        </w:rPr>
        <w:t>时</w:t>
      </w:r>
      <w:r>
        <w:rPr>
          <w:rFonts w:hint="eastAsia" w:ascii="仿宋" w:hAnsi="仿宋" w:eastAsia="仿宋"/>
          <w:sz w:val="32"/>
          <w:szCs w:val="36"/>
        </w:rPr>
        <w:t>XX</w:t>
      </w:r>
      <w:r>
        <w:rPr>
          <w:rFonts w:ascii="仿宋" w:hAnsi="仿宋" w:eastAsia="仿宋"/>
          <w:sz w:val="32"/>
          <w:szCs w:val="36"/>
        </w:rPr>
        <w:t>分，</w:t>
      </w:r>
      <w:r>
        <w:rPr>
          <w:rFonts w:hint="eastAsia" w:ascii="仿宋" w:hAnsi="仿宋" w:eastAsia="仿宋"/>
          <w:sz w:val="32"/>
          <w:szCs w:val="36"/>
        </w:rPr>
        <w:t>（突发事件描述）</w:t>
      </w:r>
      <w:r>
        <w:rPr>
          <w:rFonts w:ascii="仿宋" w:hAnsi="仿宋" w:eastAsia="仿宋"/>
          <w:sz w:val="32"/>
          <w:szCs w:val="36"/>
        </w:rPr>
        <w:t>，依据《</w:t>
      </w:r>
      <w:r>
        <w:rPr>
          <w:rFonts w:hint="eastAsia" w:ascii="仿宋" w:hAnsi="仿宋" w:eastAsia="仿宋"/>
          <w:sz w:val="32"/>
          <w:szCs w:val="36"/>
        </w:rPr>
        <w:t>河南省交通运输突发事件综合应急</w:t>
      </w:r>
      <w:r>
        <w:rPr>
          <w:rFonts w:ascii="仿宋" w:hAnsi="仿宋" w:eastAsia="仿宋"/>
          <w:sz w:val="32"/>
          <w:szCs w:val="36"/>
        </w:rPr>
        <w:t>预案》，</w:t>
      </w:r>
      <w:r>
        <w:rPr>
          <w:rFonts w:hint="eastAsia" w:ascii="仿宋" w:hAnsi="仿宋" w:eastAsia="仿宋"/>
          <w:sz w:val="32"/>
          <w:szCs w:val="36"/>
        </w:rPr>
        <w:t>河南省交通运输厅突发事件应急指挥部</w:t>
      </w:r>
      <w:r>
        <w:rPr>
          <w:rFonts w:ascii="仿宋" w:hAnsi="仿宋" w:eastAsia="仿宋"/>
          <w:sz w:val="32"/>
          <w:szCs w:val="36"/>
        </w:rPr>
        <w:t>决定于</w:t>
      </w:r>
      <w:r>
        <w:rPr>
          <w:rFonts w:hint="eastAsia" w:ascii="仿宋" w:hAnsi="仿宋" w:eastAsia="仿宋"/>
          <w:sz w:val="32"/>
          <w:szCs w:val="36"/>
        </w:rPr>
        <w:t>XX</w:t>
      </w:r>
      <w:r>
        <w:rPr>
          <w:rFonts w:ascii="仿宋" w:hAnsi="仿宋" w:eastAsia="仿宋"/>
          <w:sz w:val="32"/>
          <w:szCs w:val="36"/>
        </w:rPr>
        <w:t>月</w:t>
      </w:r>
      <w:r>
        <w:rPr>
          <w:rFonts w:hint="eastAsia" w:ascii="仿宋" w:hAnsi="仿宋" w:eastAsia="仿宋"/>
          <w:sz w:val="32"/>
          <w:szCs w:val="36"/>
        </w:rPr>
        <w:t>XX</w:t>
      </w:r>
      <w:r>
        <w:rPr>
          <w:rFonts w:ascii="仿宋" w:hAnsi="仿宋" w:eastAsia="仿宋"/>
          <w:sz w:val="32"/>
          <w:szCs w:val="36"/>
        </w:rPr>
        <w:t>日</w:t>
      </w:r>
      <w:r>
        <w:rPr>
          <w:rFonts w:hint="eastAsia" w:ascii="仿宋" w:hAnsi="仿宋" w:eastAsia="仿宋"/>
          <w:sz w:val="32"/>
          <w:szCs w:val="36"/>
        </w:rPr>
        <w:t>XX时XX分</w:t>
      </w:r>
      <w:r>
        <w:rPr>
          <w:rFonts w:ascii="仿宋" w:hAnsi="仿宋" w:eastAsia="仿宋"/>
          <w:sz w:val="32"/>
          <w:szCs w:val="36"/>
        </w:rPr>
        <w:t>启动</w:t>
      </w:r>
      <w:r>
        <w:rPr>
          <w:rFonts w:hint="eastAsia" w:ascii="仿宋" w:hAnsi="仿宋" w:eastAsia="仿宋"/>
          <w:sz w:val="32"/>
          <w:szCs w:val="36"/>
        </w:rPr>
        <w:t>X</w:t>
      </w:r>
      <w:r>
        <w:rPr>
          <w:rFonts w:ascii="仿宋" w:hAnsi="仿宋" w:eastAsia="仿宋"/>
          <w:sz w:val="32"/>
          <w:szCs w:val="36"/>
        </w:rPr>
        <w:t>级响应。</w:t>
      </w:r>
    </w:p>
    <w:p>
      <w:pPr>
        <w:spacing w:line="560" w:lineRule="exact"/>
        <w:ind w:firstLine="640" w:firstLineChars="200"/>
        <w:rPr>
          <w:rFonts w:ascii="仿宋" w:hAnsi="仿宋" w:eastAsia="仿宋"/>
          <w:sz w:val="32"/>
          <w:szCs w:val="36"/>
        </w:rPr>
      </w:pPr>
      <w:r>
        <w:rPr>
          <w:rFonts w:hint="eastAsia" w:ascii="仿宋" w:hAnsi="仿宋" w:eastAsia="仿宋"/>
          <w:sz w:val="32"/>
          <w:szCs w:val="36"/>
        </w:rPr>
        <w:t>请各相关单位进入应急响应状态</w:t>
      </w:r>
      <w:r>
        <w:rPr>
          <w:rFonts w:ascii="仿宋" w:hAnsi="仿宋" w:eastAsia="仿宋"/>
          <w:sz w:val="32"/>
          <w:szCs w:val="36"/>
        </w:rPr>
        <w:t>。</w:t>
      </w:r>
    </w:p>
    <w:p>
      <w:pPr>
        <w:spacing w:line="560" w:lineRule="exact"/>
        <w:ind w:firstLine="640" w:firstLineChars="200"/>
        <w:rPr>
          <w:rFonts w:ascii="仿宋" w:hAnsi="仿宋" w:eastAsia="仿宋"/>
          <w:sz w:val="32"/>
          <w:szCs w:val="36"/>
        </w:rPr>
      </w:pPr>
      <w:r>
        <w:rPr>
          <w:rFonts w:hint="eastAsia" w:ascii="仿宋" w:hAnsi="仿宋" w:eastAsia="仿宋"/>
          <w:sz w:val="32"/>
          <w:szCs w:val="36"/>
        </w:rPr>
        <w:t>（响应的内容）</w:t>
      </w:r>
    </w:p>
    <w:p>
      <w:pPr>
        <w:spacing w:line="560" w:lineRule="exact"/>
        <w:rPr>
          <w:rFonts w:ascii="仿宋" w:hAnsi="仿宋" w:eastAsia="仿宋"/>
          <w:sz w:val="32"/>
          <w:szCs w:val="36"/>
        </w:rPr>
      </w:pPr>
    </w:p>
    <w:p>
      <w:pPr>
        <w:rPr>
          <w:rFonts w:ascii="仿宋" w:hAnsi="仿宋" w:eastAsia="仿宋"/>
          <w:sz w:val="32"/>
          <w:szCs w:val="36"/>
        </w:rPr>
      </w:pPr>
    </w:p>
    <w:p>
      <w:pPr>
        <w:rPr>
          <w:rFonts w:ascii="仿宋" w:hAnsi="仿宋" w:eastAsia="仿宋"/>
          <w:sz w:val="32"/>
          <w:szCs w:val="36"/>
        </w:rPr>
      </w:pPr>
    </w:p>
    <w:p>
      <w:pPr>
        <w:ind w:firstLine="2560" w:firstLineChars="800"/>
        <w:rPr>
          <w:rFonts w:ascii="仿宋" w:hAnsi="仿宋" w:eastAsia="仿宋"/>
          <w:sz w:val="32"/>
          <w:szCs w:val="36"/>
        </w:rPr>
      </w:pPr>
      <w:r>
        <w:rPr>
          <w:rFonts w:hint="eastAsia" w:ascii="仿宋" w:hAnsi="仿宋" w:eastAsia="仿宋"/>
          <w:sz w:val="32"/>
          <w:szCs w:val="36"/>
        </w:rPr>
        <w:t>河南省交通运输厅突发事件应急指挥部</w:t>
      </w:r>
    </w:p>
    <w:p>
      <w:pPr>
        <w:ind w:firstLine="3840" w:firstLineChars="1200"/>
        <w:rPr>
          <w:rFonts w:ascii="仿宋" w:hAnsi="仿宋" w:eastAsia="仿宋"/>
          <w:sz w:val="32"/>
          <w:szCs w:val="36"/>
        </w:rPr>
      </w:pPr>
      <w:r>
        <w:rPr>
          <w:rFonts w:hint="eastAsia" w:ascii="仿宋" w:hAnsi="仿宋" w:eastAsia="仿宋"/>
          <w:sz w:val="32"/>
          <w:szCs w:val="36"/>
        </w:rPr>
        <w:t>签 发 人：</w:t>
      </w:r>
      <w:r>
        <w:rPr>
          <w:rFonts w:hint="eastAsia" w:ascii="仿宋" w:hAnsi="仿宋" w:eastAsia="仿宋"/>
          <w:sz w:val="32"/>
          <w:szCs w:val="36"/>
          <w:u w:val="single"/>
        </w:rPr>
        <w:t xml:space="preserve"> </w:t>
      </w:r>
      <w:r>
        <w:rPr>
          <w:rFonts w:ascii="仿宋" w:hAnsi="仿宋" w:eastAsia="仿宋"/>
          <w:sz w:val="32"/>
          <w:szCs w:val="36"/>
          <w:u w:val="single"/>
        </w:rPr>
        <w:t xml:space="preserve">       </w:t>
      </w:r>
      <w:r>
        <w:rPr>
          <w:rFonts w:hint="eastAsia" w:ascii="仿宋" w:hAnsi="仿宋" w:eastAsia="仿宋"/>
          <w:sz w:val="32"/>
          <w:szCs w:val="36"/>
          <w:u w:val="single"/>
        </w:rPr>
        <w:t>（签字）</w:t>
      </w:r>
    </w:p>
    <w:p>
      <w:pPr>
        <w:ind w:firstLine="3840" w:firstLineChars="1200"/>
        <w:rPr>
          <w:rFonts w:ascii="仿宋" w:hAnsi="仿宋" w:eastAsia="仿宋"/>
          <w:sz w:val="32"/>
          <w:szCs w:val="36"/>
        </w:rPr>
      </w:pPr>
      <w:r>
        <w:rPr>
          <w:rFonts w:hint="eastAsia" w:ascii="仿宋" w:hAnsi="仿宋" w:eastAsia="仿宋"/>
          <w:sz w:val="32"/>
          <w:szCs w:val="36"/>
        </w:rPr>
        <w:t>签发日期：</w:t>
      </w:r>
      <w:r>
        <w:rPr>
          <w:rFonts w:hint="eastAsia" w:ascii="仿宋" w:hAnsi="仿宋" w:eastAsia="仿宋"/>
          <w:sz w:val="32"/>
          <w:szCs w:val="36"/>
          <w:u w:val="single"/>
        </w:rPr>
        <w:t xml:space="preserve"> </w:t>
      </w:r>
      <w:r>
        <w:rPr>
          <w:rFonts w:ascii="仿宋" w:hAnsi="仿宋" w:eastAsia="仿宋"/>
          <w:sz w:val="32"/>
          <w:szCs w:val="36"/>
          <w:u w:val="single"/>
        </w:rPr>
        <w:t xml:space="preserve">               </w:t>
      </w:r>
    </w:p>
    <w:p>
      <w:pPr>
        <w:pStyle w:val="35"/>
        <w:spacing w:line="560" w:lineRule="exact"/>
        <w:ind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0"/>
    <w:family w:val="decorative"/>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等线">
    <w:altName w:val="汉仪中等线KW"/>
    <w:panose1 w:val="02010600030101010101"/>
    <w:charset w:val="86"/>
    <w:family w:val="auto"/>
    <w:pitch w:val="default"/>
    <w:sig w:usb0="00000000" w:usb1="00000000" w:usb2="00000016" w:usb3="00000000" w:csb0="0004000F" w:csb1="00000000"/>
  </w:font>
  <w:font w:name="等线 Light">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Times New Roman (标题 CS)">
    <w:altName w:val="苹方-简"/>
    <w:panose1 w:val="020B0604020202020204"/>
    <w:charset w:val="86"/>
    <w:family w:val="roman"/>
    <w:pitch w:val="default"/>
    <w:sig w:usb0="00000000" w:usb1="00000000" w:usb2="00000000" w:usb3="00000000" w:csb0="00000000" w:csb1="00000000"/>
  </w:font>
  <w:font w:name="黑体">
    <w:altName w:val="汉仪中黑KW"/>
    <w:panose1 w:val="02010609060101010101"/>
    <w:charset w:val="86"/>
    <w:family w:val="modern"/>
    <w:pitch w:val="default"/>
    <w:sig w:usb0="00000000" w:usb1="00000000" w:usb2="00000016" w:usb3="00000000" w:csb0="00040001" w:csb1="00000000"/>
  </w:font>
  <w:font w:name="Microsoft YaHei UI">
    <w:altName w:val="苹方-简"/>
    <w:panose1 w:val="020B0503020204020204"/>
    <w:charset w:val="86"/>
    <w:family w:val="swiss"/>
    <w:pitch w:val="default"/>
    <w:sig w:usb0="00000000" w:usb1="00000000" w:usb2="00000016" w:usb3="00000000" w:csb0="0004001F" w:csb1="00000000"/>
  </w:font>
  <w:font w:name="微软雅黑">
    <w:altName w:val="汉仪旗黑"/>
    <w:panose1 w:val="020B0503020204020204"/>
    <w:charset w:val="86"/>
    <w:family w:val="swiss"/>
    <w:pitch w:val="default"/>
    <w:sig w:usb0="00000000" w:usb1="00000000" w:usb2="00000016" w:usb3="00000000" w:csb0="0004001F" w:csb1="00000000"/>
  </w:font>
  <w:font w:name="等线 Light">
    <w:altName w:val="汉仪中等线KW"/>
    <w:panose1 w:val="00000000000000000000"/>
    <w:charset w:val="00"/>
    <w:family w:val="auto"/>
    <w:pitch w:val="default"/>
    <w:sig w:usb0="00000000" w:usb1="00000000" w:usb2="00000000" w:usb3="00000000" w:csb0="00000000" w:csb1="00000000"/>
  </w:font>
  <w:font w:name="冬青黑体简体中文">
    <w:panose1 w:val="020B0300000000000000"/>
    <w:charset w:val="86"/>
    <w:family w:val="auto"/>
    <w:pitch w:val="default"/>
    <w:sig w:usb0="A00002BF" w:usb1="1ACF7CFA" w:usb2="00000016" w:usb3="00000000" w:csb0="00060007" w:csb1="00000000"/>
  </w:font>
  <w:font w:name="汉仪旗黑">
    <w:panose1 w:val="00020600040101010101"/>
    <w:charset w:val="86"/>
    <w:family w:val="auto"/>
    <w:pitch w:val="default"/>
    <w:sig w:usb0="A00002BF" w:usb1="1ACF7CFA" w:usb2="00000016" w:usb3="00000000" w:csb0="0004009F" w:csb1="DFD70000"/>
  </w:font>
  <w:font w:name="方正仿宋_GBK">
    <w:panose1 w:val="02000000000000000000"/>
    <w:charset w:val="86"/>
    <w:family w:val="auto"/>
    <w:pitch w:val="default"/>
    <w:sig w:usb0="A00002BF" w:usb1="38CF7CFA" w:usb2="00082016" w:usb3="00000000" w:csb0="00040001" w:csb1="00000000"/>
  </w:font>
  <w:font w:name="黑体-简">
    <w:panose1 w:val="02000000000000000000"/>
    <w:charset w:val="86"/>
    <w:family w:val="auto"/>
    <w:pitch w:val="default"/>
    <w:sig w:usb0="8000002F" w:usb1="0800004A" w:usb2="00000000" w:usb3="00000000" w:csb0="203E0000" w:csb1="00000000"/>
  </w:font>
  <w:font w:name="標楷體">
    <w:panose1 w:val="02010601000101010101"/>
    <w:charset w:val="00"/>
    <w:family w:val="auto"/>
    <w:pitch w:val="default"/>
    <w:sig w:usb0="00000000" w:usb1="00000000" w:usb2="00000000" w:usb3="00000000" w:csb0="00000000" w:csb1="00000000"/>
  </w:font>
  <w:font w:name="Heiti TC Light">
    <w:panose1 w:val="02000000000000000000"/>
    <w:charset w:val="86"/>
    <w:family w:val="auto"/>
    <w:pitch w:val="default"/>
    <w:sig w:usb0="8000002F" w:usb1="0800004A" w:usb2="00000000" w:usb3="00000000" w:csb0="203E0000" w:csb1="00000000"/>
  </w:font>
  <w:font w:name="黑体">
    <w:altName w:val="汉仪中黑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Symbol">
    <w:altName w:val="Kingsoft Sign"/>
    <w:panose1 w:val="00000000000000000000"/>
    <w:charset w:val="00"/>
    <w:family w:val="auto"/>
    <w:pitch w:val="default"/>
    <w:sig w:usb0="00000000" w:usb1="00000000" w:usb2="00000000" w:usb3="00000000" w:csb0="00000000" w:csb1="00000000"/>
  </w:font>
  <w:font w:name="Courier New">
    <w:panose1 w:val="02070609020205090404"/>
    <w:charset w:val="00"/>
    <w:family w:val="auto"/>
    <w:pitch w:val="default"/>
    <w:sig w:usb0="E0000AFF" w:usb1="40007843" w:usb2="00000001" w:usb3="00000000" w:csb0="400001BF" w:csb1="DFF70000"/>
  </w:font>
  <w:font w:name="Kingsoft Sign">
    <w:panose1 w:val="05050102010706020507"/>
    <w:charset w:val="00"/>
    <w:family w:val="auto"/>
    <w:pitch w:val="default"/>
    <w:sig w:usb0="00000000" w:usb1="10000000" w:usb2="00000000" w:usb3="00000000" w:csb0="00000001" w:csb1="00000000"/>
  </w:font>
  <w:font w:name="Apple Color Emoji">
    <w:panose1 w:val="00000000000000000000"/>
    <w:charset w:val="00"/>
    <w:family w:val="auto"/>
    <w:pitch w:val="default"/>
    <w:sig w:usb0="00000003" w:usb1="18000000" w:usb2="14000000" w:usb3="00000000" w:csb0="0000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文道朗月黑">
    <w:panose1 w:val="02010600040101010101"/>
    <w:charset w:val="86"/>
    <w:family w:val="auto"/>
    <w:pitch w:val="default"/>
    <w:sig w:usb0="00000283" w:usb1="180F0C12" w:usb2="00000012" w:usb3="00000000" w:csb0="00060001" w:csb1="00000000"/>
  </w:font>
  <w:font w:name="Hiragino Sans CNS W3">
    <w:panose1 w:val="020B0300000000000000"/>
    <w:charset w:val="88"/>
    <w:family w:val="auto"/>
    <w:pitch w:val="default"/>
    <w:sig w:usb0="00000001" w:usb1="1A0F1900" w:usb2="00000016" w:usb3="00000000" w:csb0="00120005" w:csb1="00000000"/>
  </w:font>
  <w:font w:name="Lantinghei SC Extralight">
    <w:panose1 w:val="02000000000000000000"/>
    <w:charset w:val="86"/>
    <w:family w:val="auto"/>
    <w:pitch w:val="default"/>
    <w:sig w:usb0="00000001" w:usb1="08000000" w:usb2="00000000" w:usb3="00000000" w:csb0="00040000" w:csb1="00000000"/>
  </w:font>
  <w:font w:name="Calibri Light">
    <w:altName w:val="Helvetica Neue"/>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0"/>
    </w:sdtPr>
    <w:sdtContent>
      <w:p>
        <w:pPr>
          <w:pStyle w:val="4"/>
          <w:jc w:val="center"/>
        </w:pPr>
        <w:r>
          <w:fldChar w:fldCharType="begin"/>
        </w:r>
        <w:r>
          <w:instrText xml:space="preserve">PAGE   \* MERGEFORMAT</w:instrText>
        </w:r>
        <w:r>
          <w:fldChar w:fldCharType="separate"/>
        </w:r>
        <w:r>
          <w:rPr>
            <w:lang w:val="zh-CN"/>
          </w:rPr>
          <w:t>III</w:t>
        </w:r>
        <w:r>
          <w:fldChar w:fldCharType="end"/>
        </w:r>
      </w:p>
    </w:sdtContent>
  </w:sdt>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3667750"/>
    </w:sdtPr>
    <w:sdtEndPr>
      <w:rPr>
        <w:rFonts w:ascii="仿宋" w:hAnsi="仿宋" w:eastAsia="仿宋"/>
      </w:rPr>
    </w:sdtEndPr>
    <w:sdtContent>
      <w:p>
        <w:pPr>
          <w:pStyle w:val="4"/>
          <w:jc w:val="center"/>
          <w:rPr>
            <w:rFonts w:ascii="仿宋" w:hAnsi="仿宋" w:eastAsia="仿宋"/>
          </w:rPr>
        </w:pPr>
        <w:r>
          <w:rPr>
            <w:rFonts w:ascii="仿宋" w:hAnsi="仿宋" w:eastAsia="仿宋"/>
          </w:rPr>
          <w:fldChar w:fldCharType="begin"/>
        </w:r>
        <w:r>
          <w:rPr>
            <w:rFonts w:ascii="仿宋" w:hAnsi="仿宋" w:eastAsia="仿宋"/>
          </w:rPr>
          <w:instrText xml:space="preserve">PAGE   \* MERGEFORMAT</w:instrText>
        </w:r>
        <w:r>
          <w:rPr>
            <w:rFonts w:ascii="仿宋" w:hAnsi="仿宋" w:eastAsia="仿宋"/>
          </w:rPr>
          <w:fldChar w:fldCharType="separate"/>
        </w:r>
        <w:r>
          <w:rPr>
            <w:rFonts w:ascii="仿宋" w:hAnsi="仿宋" w:eastAsia="仿宋"/>
            <w:lang w:val="zh-CN"/>
          </w:rPr>
          <w:t>30</w:t>
        </w:r>
        <w:r>
          <w:rPr>
            <w:rFonts w:ascii="仿宋" w:hAnsi="仿宋" w:eastAsia="仿宋"/>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5011C"/>
    <w:multiLevelType w:val="multilevel"/>
    <w:tmpl w:val="16E5011C"/>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4653899"/>
    <w:multiLevelType w:val="multilevel"/>
    <w:tmpl w:val="34653899"/>
    <w:lvl w:ilvl="0" w:tentative="0">
      <w:start w:val="1"/>
      <w:numFmt w:val="decimal"/>
      <w:pStyle w:val="31"/>
      <w:suff w:val="nothing"/>
      <w:lvlText w:val="附件%1  "/>
      <w:lvlJc w:val="left"/>
      <w:pPr>
        <w:ind w:left="0" w:firstLine="0"/>
      </w:pPr>
      <w:rPr>
        <w:rFonts w:hint="eastAsia"/>
      </w:rPr>
    </w:lvl>
    <w:lvl w:ilvl="1" w:tentative="0">
      <w:start w:val="1"/>
      <w:numFmt w:val="decimal"/>
      <w:pStyle w:val="27"/>
      <w:suff w:val="nothing"/>
      <w:lvlText w:val="附件%1.%2  "/>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4103516B"/>
    <w:multiLevelType w:val="multilevel"/>
    <w:tmpl w:val="4103516B"/>
    <w:lvl w:ilvl="0" w:tentative="0">
      <w:start w:val="1"/>
      <w:numFmt w:val="decimal"/>
      <w:pStyle w:val="36"/>
      <w:suff w:val="nothing"/>
      <w:lvlText w:val="%1  "/>
      <w:lvlJc w:val="left"/>
      <w:pPr>
        <w:ind w:left="0" w:firstLine="0"/>
      </w:pPr>
      <w:rPr>
        <w:rFonts w:hint="eastAsia"/>
      </w:rPr>
    </w:lvl>
    <w:lvl w:ilvl="1" w:tentative="0">
      <w:start w:val="1"/>
      <w:numFmt w:val="decimal"/>
      <w:pStyle w:val="38"/>
      <w:suff w:val="nothing"/>
      <w:lvlText w:val="%1.%2  "/>
      <w:lvlJc w:val="left"/>
      <w:pPr>
        <w:ind w:left="0" w:firstLine="0"/>
      </w:pPr>
      <w:rPr>
        <w:rFonts w:hint="eastAsia"/>
      </w:rPr>
    </w:lvl>
    <w:lvl w:ilvl="2" w:tentative="0">
      <w:start w:val="1"/>
      <w:numFmt w:val="decimal"/>
      <w:pStyle w:val="41"/>
      <w:suff w:val="nothing"/>
      <w:lvlText w:val="%1.%2.%3  "/>
      <w:lvlJc w:val="left"/>
      <w:pPr>
        <w:ind w:left="0" w:firstLine="0"/>
      </w:pPr>
      <w:rPr>
        <w:rFonts w:hint="eastAsia"/>
      </w:rPr>
    </w:lvl>
    <w:lvl w:ilvl="3" w:tentative="0">
      <w:start w:val="1"/>
      <w:numFmt w:val="decimal"/>
      <w:pStyle w:val="44"/>
      <w:suff w:val="nothing"/>
      <w:lvlText w:val="（%4）"/>
      <w:lvlJc w:val="left"/>
      <w:pPr>
        <w:ind w:left="0" w:firstLine="0"/>
      </w:pPr>
      <w:rPr>
        <w:rFonts w:hint="eastAsia"/>
        <w:lang w:val="en-US"/>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672F500D"/>
    <w:multiLevelType w:val="multilevel"/>
    <w:tmpl w:val="672F500D"/>
    <w:lvl w:ilvl="0" w:tentative="0">
      <w:start w:val="1"/>
      <w:numFmt w:val="decimal"/>
      <w:pStyle w:val="15"/>
      <w:suff w:val="nothing"/>
      <w:lvlText w:val="%1  "/>
      <w:lvlJc w:val="left"/>
      <w:pPr>
        <w:ind w:left="0" w:firstLine="0"/>
      </w:pPr>
      <w:rPr>
        <w:rFonts w:hint="eastAsia" w:eastAsia="黑体"/>
        <w:sz w:val="32"/>
      </w:rPr>
    </w:lvl>
    <w:lvl w:ilvl="1" w:tentative="0">
      <w:start w:val="1"/>
      <w:numFmt w:val="decimal"/>
      <w:pStyle w:val="17"/>
      <w:suff w:val="nothing"/>
      <w:lvlText w:val="%1.%2  "/>
      <w:lvlJc w:val="left"/>
      <w:pPr>
        <w:ind w:left="0" w:firstLine="0"/>
      </w:pPr>
      <w:rPr>
        <w:rFonts w:hint="eastAsia"/>
      </w:rPr>
    </w:lvl>
    <w:lvl w:ilvl="2" w:tentative="0">
      <w:start w:val="1"/>
      <w:numFmt w:val="decimal"/>
      <w:pStyle w:val="19"/>
      <w:suff w:val="nothing"/>
      <w:lvlText w:val="%1.%2.%3  "/>
      <w:lvlJc w:val="left"/>
      <w:pPr>
        <w:ind w:left="0" w:firstLine="0"/>
      </w:pPr>
      <w:rPr>
        <w:rFonts w:hint="eastAsia"/>
      </w:rPr>
    </w:lvl>
    <w:lvl w:ilvl="3" w:tentative="0">
      <w:start w:val="1"/>
      <w:numFmt w:val="decimal"/>
      <w:suff w:val="nothing"/>
      <w:lvlText w:val="%4.  "/>
      <w:lvlJc w:val="left"/>
      <w:pPr>
        <w:ind w:left="0" w:firstLine="0"/>
      </w:pPr>
      <w:rPr>
        <w:rFonts w:hint="eastAsia"/>
      </w:rPr>
    </w:lvl>
    <w:lvl w:ilvl="4" w:tentative="0">
      <w:start w:val="1"/>
      <w:numFmt w:val="decimal"/>
      <w:pStyle w:val="25"/>
      <w:suff w:val="nothing"/>
      <w:lvlText w:val="（%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4">
    <w:nsid w:val="6A8F370A"/>
    <w:multiLevelType w:val="multilevel"/>
    <w:tmpl w:val="6A8F370A"/>
    <w:lvl w:ilvl="0" w:tentative="0">
      <w:start w:val="1"/>
      <w:numFmt w:val="decimal"/>
      <w:suff w:val="nothing"/>
      <w:lvlText w:val="%1  "/>
      <w:lvlJc w:val="left"/>
      <w:pPr>
        <w:ind w:left="0" w:firstLine="0"/>
      </w:pPr>
      <w:rPr>
        <w:rFonts w:hint="eastAsia" w:eastAsia="黑体"/>
        <w:sz w:val="32"/>
      </w:rPr>
    </w:lvl>
    <w:lvl w:ilvl="1" w:tentative="0">
      <w:start w:val="1"/>
      <w:numFmt w:val="decimal"/>
      <w:suff w:val="nothing"/>
      <w:lvlText w:val="%1.%2  "/>
      <w:lvlJc w:val="left"/>
      <w:pPr>
        <w:ind w:left="0" w:firstLine="0"/>
      </w:pPr>
      <w:rPr>
        <w:rFonts w:hint="eastAsia"/>
      </w:rPr>
    </w:lvl>
    <w:lvl w:ilvl="2" w:tentative="0">
      <w:start w:val="1"/>
      <w:numFmt w:val="decimal"/>
      <w:suff w:val="nothing"/>
      <w:lvlText w:val="%1.%2.%3  "/>
      <w:lvlJc w:val="left"/>
      <w:pPr>
        <w:ind w:left="0" w:firstLine="0"/>
      </w:pPr>
      <w:rPr>
        <w:rFonts w:hint="eastAsia"/>
      </w:rPr>
    </w:lvl>
    <w:lvl w:ilvl="3" w:tentative="0">
      <w:start w:val="1"/>
      <w:numFmt w:val="decimal"/>
      <w:pStyle w:val="23"/>
      <w:suff w:val="nothing"/>
      <w:lvlText w:val="%4.  "/>
      <w:lvlJc w:val="left"/>
      <w:pPr>
        <w:ind w:left="0" w:firstLine="0"/>
      </w:pPr>
      <w:rPr>
        <w:rFonts w:hint="eastAsia"/>
      </w:rPr>
    </w:lvl>
    <w:lvl w:ilvl="4" w:tentative="0">
      <w:start w:val="1"/>
      <w:numFmt w:val="decimal"/>
      <w:suff w:val="nothing"/>
      <w:lvlText w:val="（%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3"/>
  </w:num>
  <w:num w:numId="2">
    <w:abstractNumId w:val="4"/>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8EA"/>
    <w:rsid w:val="00001FF0"/>
    <w:rsid w:val="00002E76"/>
    <w:rsid w:val="0000395C"/>
    <w:rsid w:val="00003C40"/>
    <w:rsid w:val="00003EE9"/>
    <w:rsid w:val="00005066"/>
    <w:rsid w:val="00006E18"/>
    <w:rsid w:val="00007CAA"/>
    <w:rsid w:val="0001096F"/>
    <w:rsid w:val="000113E3"/>
    <w:rsid w:val="00011443"/>
    <w:rsid w:val="000122A9"/>
    <w:rsid w:val="00012347"/>
    <w:rsid w:val="0001237F"/>
    <w:rsid w:val="00013EAA"/>
    <w:rsid w:val="000143CC"/>
    <w:rsid w:val="00015465"/>
    <w:rsid w:val="00015CAA"/>
    <w:rsid w:val="000162A3"/>
    <w:rsid w:val="000166C4"/>
    <w:rsid w:val="00016A5E"/>
    <w:rsid w:val="000178E5"/>
    <w:rsid w:val="0002239C"/>
    <w:rsid w:val="000236E4"/>
    <w:rsid w:val="00023992"/>
    <w:rsid w:val="00024969"/>
    <w:rsid w:val="0002560D"/>
    <w:rsid w:val="000256FD"/>
    <w:rsid w:val="00027604"/>
    <w:rsid w:val="00030295"/>
    <w:rsid w:val="000326D8"/>
    <w:rsid w:val="0003641D"/>
    <w:rsid w:val="00036C38"/>
    <w:rsid w:val="00042D59"/>
    <w:rsid w:val="00043655"/>
    <w:rsid w:val="00043690"/>
    <w:rsid w:val="0004375D"/>
    <w:rsid w:val="0004406B"/>
    <w:rsid w:val="000447AC"/>
    <w:rsid w:val="000459E9"/>
    <w:rsid w:val="00045B98"/>
    <w:rsid w:val="0004646C"/>
    <w:rsid w:val="000477B8"/>
    <w:rsid w:val="0005124A"/>
    <w:rsid w:val="00052EEE"/>
    <w:rsid w:val="000537FC"/>
    <w:rsid w:val="00053E46"/>
    <w:rsid w:val="00054503"/>
    <w:rsid w:val="00054663"/>
    <w:rsid w:val="00055A0B"/>
    <w:rsid w:val="0005712E"/>
    <w:rsid w:val="00060100"/>
    <w:rsid w:val="000657C0"/>
    <w:rsid w:val="00066007"/>
    <w:rsid w:val="00066607"/>
    <w:rsid w:val="000674C8"/>
    <w:rsid w:val="00067924"/>
    <w:rsid w:val="00067CC4"/>
    <w:rsid w:val="000718ED"/>
    <w:rsid w:val="00071D08"/>
    <w:rsid w:val="00072F76"/>
    <w:rsid w:val="00073897"/>
    <w:rsid w:val="00074E18"/>
    <w:rsid w:val="000757BF"/>
    <w:rsid w:val="000766F7"/>
    <w:rsid w:val="00076938"/>
    <w:rsid w:val="0008008E"/>
    <w:rsid w:val="00081189"/>
    <w:rsid w:val="0008241F"/>
    <w:rsid w:val="00083EDB"/>
    <w:rsid w:val="00084150"/>
    <w:rsid w:val="000911D9"/>
    <w:rsid w:val="0009192A"/>
    <w:rsid w:val="000928E9"/>
    <w:rsid w:val="00092B3F"/>
    <w:rsid w:val="0009567A"/>
    <w:rsid w:val="0009787E"/>
    <w:rsid w:val="000A03A3"/>
    <w:rsid w:val="000A2AC7"/>
    <w:rsid w:val="000A2D35"/>
    <w:rsid w:val="000A48F5"/>
    <w:rsid w:val="000A4CCD"/>
    <w:rsid w:val="000A5351"/>
    <w:rsid w:val="000A567E"/>
    <w:rsid w:val="000A60E3"/>
    <w:rsid w:val="000A6717"/>
    <w:rsid w:val="000A7228"/>
    <w:rsid w:val="000B2C8F"/>
    <w:rsid w:val="000B3500"/>
    <w:rsid w:val="000B6AC2"/>
    <w:rsid w:val="000C0E14"/>
    <w:rsid w:val="000C1122"/>
    <w:rsid w:val="000C216A"/>
    <w:rsid w:val="000C2549"/>
    <w:rsid w:val="000C2E1F"/>
    <w:rsid w:val="000C32E7"/>
    <w:rsid w:val="000C35A8"/>
    <w:rsid w:val="000C3CA7"/>
    <w:rsid w:val="000C3CFF"/>
    <w:rsid w:val="000C3F17"/>
    <w:rsid w:val="000C3FB6"/>
    <w:rsid w:val="000C40E7"/>
    <w:rsid w:val="000C5B8E"/>
    <w:rsid w:val="000C5D5A"/>
    <w:rsid w:val="000D0E13"/>
    <w:rsid w:val="000D1AE1"/>
    <w:rsid w:val="000D3845"/>
    <w:rsid w:val="000D39E7"/>
    <w:rsid w:val="000D4CA9"/>
    <w:rsid w:val="000D6249"/>
    <w:rsid w:val="000D71C8"/>
    <w:rsid w:val="000D74E3"/>
    <w:rsid w:val="000E01DA"/>
    <w:rsid w:val="000E48FE"/>
    <w:rsid w:val="000E5EF5"/>
    <w:rsid w:val="000F0034"/>
    <w:rsid w:val="000F13F2"/>
    <w:rsid w:val="000F3178"/>
    <w:rsid w:val="000F3570"/>
    <w:rsid w:val="000F36D9"/>
    <w:rsid w:val="000F38EA"/>
    <w:rsid w:val="000F458B"/>
    <w:rsid w:val="000F6630"/>
    <w:rsid w:val="00104481"/>
    <w:rsid w:val="001063ED"/>
    <w:rsid w:val="001076D2"/>
    <w:rsid w:val="001110BF"/>
    <w:rsid w:val="001113DB"/>
    <w:rsid w:val="00111564"/>
    <w:rsid w:val="00111694"/>
    <w:rsid w:val="00111F58"/>
    <w:rsid w:val="00112F50"/>
    <w:rsid w:val="0011593C"/>
    <w:rsid w:val="00116A12"/>
    <w:rsid w:val="001170A9"/>
    <w:rsid w:val="00120789"/>
    <w:rsid w:val="00120DCC"/>
    <w:rsid w:val="00121EF6"/>
    <w:rsid w:val="00124F18"/>
    <w:rsid w:val="00127443"/>
    <w:rsid w:val="00127E9F"/>
    <w:rsid w:val="00131AD1"/>
    <w:rsid w:val="00131D1B"/>
    <w:rsid w:val="00131FD3"/>
    <w:rsid w:val="00133103"/>
    <w:rsid w:val="00133696"/>
    <w:rsid w:val="00133D74"/>
    <w:rsid w:val="0013423B"/>
    <w:rsid w:val="00134937"/>
    <w:rsid w:val="001349DF"/>
    <w:rsid w:val="001379CB"/>
    <w:rsid w:val="00140B0A"/>
    <w:rsid w:val="00140C1B"/>
    <w:rsid w:val="00140E65"/>
    <w:rsid w:val="001416A3"/>
    <w:rsid w:val="00141FCE"/>
    <w:rsid w:val="0014390F"/>
    <w:rsid w:val="00145389"/>
    <w:rsid w:val="00145960"/>
    <w:rsid w:val="00146592"/>
    <w:rsid w:val="0015539E"/>
    <w:rsid w:val="00155551"/>
    <w:rsid w:val="0015559F"/>
    <w:rsid w:val="0015587D"/>
    <w:rsid w:val="00155B52"/>
    <w:rsid w:val="00156334"/>
    <w:rsid w:val="0016079B"/>
    <w:rsid w:val="00162485"/>
    <w:rsid w:val="00162D19"/>
    <w:rsid w:val="001640A8"/>
    <w:rsid w:val="00170C07"/>
    <w:rsid w:val="00170F38"/>
    <w:rsid w:val="00172506"/>
    <w:rsid w:val="00174471"/>
    <w:rsid w:val="001744C5"/>
    <w:rsid w:val="001817C4"/>
    <w:rsid w:val="00181A29"/>
    <w:rsid w:val="0018262F"/>
    <w:rsid w:val="00183CD7"/>
    <w:rsid w:val="00185054"/>
    <w:rsid w:val="00191822"/>
    <w:rsid w:val="00192B83"/>
    <w:rsid w:val="0019368C"/>
    <w:rsid w:val="00194E01"/>
    <w:rsid w:val="0019667D"/>
    <w:rsid w:val="0019718D"/>
    <w:rsid w:val="001A0716"/>
    <w:rsid w:val="001A0A87"/>
    <w:rsid w:val="001A0D3B"/>
    <w:rsid w:val="001A3E20"/>
    <w:rsid w:val="001A5A76"/>
    <w:rsid w:val="001A6F9F"/>
    <w:rsid w:val="001A7444"/>
    <w:rsid w:val="001A7BF9"/>
    <w:rsid w:val="001B0005"/>
    <w:rsid w:val="001B1711"/>
    <w:rsid w:val="001B1BA7"/>
    <w:rsid w:val="001B2B73"/>
    <w:rsid w:val="001B3312"/>
    <w:rsid w:val="001B3C46"/>
    <w:rsid w:val="001B7A31"/>
    <w:rsid w:val="001C3462"/>
    <w:rsid w:val="001C351E"/>
    <w:rsid w:val="001C532A"/>
    <w:rsid w:val="001C6B64"/>
    <w:rsid w:val="001C7567"/>
    <w:rsid w:val="001C7D0B"/>
    <w:rsid w:val="001D3CE5"/>
    <w:rsid w:val="001D3D52"/>
    <w:rsid w:val="001D4255"/>
    <w:rsid w:val="001D589A"/>
    <w:rsid w:val="001E0222"/>
    <w:rsid w:val="001E027A"/>
    <w:rsid w:val="001E0760"/>
    <w:rsid w:val="001E1D5E"/>
    <w:rsid w:val="001E3232"/>
    <w:rsid w:val="001E4F10"/>
    <w:rsid w:val="001E59A5"/>
    <w:rsid w:val="001E721A"/>
    <w:rsid w:val="001E724D"/>
    <w:rsid w:val="001E7600"/>
    <w:rsid w:val="001F40C2"/>
    <w:rsid w:val="001F4545"/>
    <w:rsid w:val="001F7C3C"/>
    <w:rsid w:val="002016CA"/>
    <w:rsid w:val="0020179D"/>
    <w:rsid w:val="002021D6"/>
    <w:rsid w:val="002025E1"/>
    <w:rsid w:val="00203246"/>
    <w:rsid w:val="00204114"/>
    <w:rsid w:val="00205979"/>
    <w:rsid w:val="00206487"/>
    <w:rsid w:val="0020760E"/>
    <w:rsid w:val="00207FF0"/>
    <w:rsid w:val="002126D1"/>
    <w:rsid w:val="00213F3D"/>
    <w:rsid w:val="00215979"/>
    <w:rsid w:val="0021721D"/>
    <w:rsid w:val="002173A0"/>
    <w:rsid w:val="00217FCC"/>
    <w:rsid w:val="002216B5"/>
    <w:rsid w:val="002242CA"/>
    <w:rsid w:val="00225C18"/>
    <w:rsid w:val="00227842"/>
    <w:rsid w:val="0023044C"/>
    <w:rsid w:val="002317C0"/>
    <w:rsid w:val="00231C0A"/>
    <w:rsid w:val="002326A2"/>
    <w:rsid w:val="002332C5"/>
    <w:rsid w:val="00233689"/>
    <w:rsid w:val="00236A7C"/>
    <w:rsid w:val="002371B4"/>
    <w:rsid w:val="002375CD"/>
    <w:rsid w:val="0024024E"/>
    <w:rsid w:val="0024272C"/>
    <w:rsid w:val="00242739"/>
    <w:rsid w:val="00242CCF"/>
    <w:rsid w:val="002447E9"/>
    <w:rsid w:val="00244F55"/>
    <w:rsid w:val="00245F30"/>
    <w:rsid w:val="00247960"/>
    <w:rsid w:val="002512B5"/>
    <w:rsid w:val="00252B8A"/>
    <w:rsid w:val="002534C1"/>
    <w:rsid w:val="00254ACF"/>
    <w:rsid w:val="0025559E"/>
    <w:rsid w:val="0025577F"/>
    <w:rsid w:val="002573B1"/>
    <w:rsid w:val="002603B2"/>
    <w:rsid w:val="00260420"/>
    <w:rsid w:val="0026056A"/>
    <w:rsid w:val="002620F9"/>
    <w:rsid w:val="0026259F"/>
    <w:rsid w:val="00263BE0"/>
    <w:rsid w:val="00264122"/>
    <w:rsid w:val="00271C66"/>
    <w:rsid w:val="002729D8"/>
    <w:rsid w:val="00273F17"/>
    <w:rsid w:val="002748C8"/>
    <w:rsid w:val="00274D5E"/>
    <w:rsid w:val="00277A8B"/>
    <w:rsid w:val="00280342"/>
    <w:rsid w:val="002808A5"/>
    <w:rsid w:val="00280B19"/>
    <w:rsid w:val="0028163C"/>
    <w:rsid w:val="00282A13"/>
    <w:rsid w:val="00282AFD"/>
    <w:rsid w:val="00282F33"/>
    <w:rsid w:val="00284E26"/>
    <w:rsid w:val="00287E52"/>
    <w:rsid w:val="00290A1C"/>
    <w:rsid w:val="00293AED"/>
    <w:rsid w:val="0029448A"/>
    <w:rsid w:val="00294C49"/>
    <w:rsid w:val="002968D1"/>
    <w:rsid w:val="002977FC"/>
    <w:rsid w:val="00297947"/>
    <w:rsid w:val="002A2B98"/>
    <w:rsid w:val="002A3BD0"/>
    <w:rsid w:val="002A4C4F"/>
    <w:rsid w:val="002A5CE4"/>
    <w:rsid w:val="002A5E7A"/>
    <w:rsid w:val="002A6E5A"/>
    <w:rsid w:val="002B1012"/>
    <w:rsid w:val="002B13BB"/>
    <w:rsid w:val="002B27E3"/>
    <w:rsid w:val="002B357D"/>
    <w:rsid w:val="002B3D5C"/>
    <w:rsid w:val="002B42A7"/>
    <w:rsid w:val="002B4511"/>
    <w:rsid w:val="002B48B7"/>
    <w:rsid w:val="002C068D"/>
    <w:rsid w:val="002C1413"/>
    <w:rsid w:val="002C270F"/>
    <w:rsid w:val="002C501C"/>
    <w:rsid w:val="002D0F62"/>
    <w:rsid w:val="002D49E5"/>
    <w:rsid w:val="002D4EE0"/>
    <w:rsid w:val="002E0FAE"/>
    <w:rsid w:val="002E1C07"/>
    <w:rsid w:val="002E3E57"/>
    <w:rsid w:val="002F13D3"/>
    <w:rsid w:val="002F3720"/>
    <w:rsid w:val="002F5844"/>
    <w:rsid w:val="00300CD9"/>
    <w:rsid w:val="0030102A"/>
    <w:rsid w:val="0030216B"/>
    <w:rsid w:val="00303F57"/>
    <w:rsid w:val="00305523"/>
    <w:rsid w:val="0030655C"/>
    <w:rsid w:val="00310470"/>
    <w:rsid w:val="003109CF"/>
    <w:rsid w:val="00310D6D"/>
    <w:rsid w:val="00312B2F"/>
    <w:rsid w:val="00314374"/>
    <w:rsid w:val="00314CD8"/>
    <w:rsid w:val="00314EB5"/>
    <w:rsid w:val="003153AE"/>
    <w:rsid w:val="00315E8E"/>
    <w:rsid w:val="003226D1"/>
    <w:rsid w:val="00323A74"/>
    <w:rsid w:val="00325E45"/>
    <w:rsid w:val="0032661D"/>
    <w:rsid w:val="00331BEC"/>
    <w:rsid w:val="0033285D"/>
    <w:rsid w:val="00332C0C"/>
    <w:rsid w:val="00335146"/>
    <w:rsid w:val="0033528F"/>
    <w:rsid w:val="00336264"/>
    <w:rsid w:val="0033702D"/>
    <w:rsid w:val="003376B5"/>
    <w:rsid w:val="003404E5"/>
    <w:rsid w:val="00340E6D"/>
    <w:rsid w:val="00342FB8"/>
    <w:rsid w:val="003450B8"/>
    <w:rsid w:val="003456E9"/>
    <w:rsid w:val="0034641E"/>
    <w:rsid w:val="00351956"/>
    <w:rsid w:val="00353EBE"/>
    <w:rsid w:val="00355CF7"/>
    <w:rsid w:val="003560F6"/>
    <w:rsid w:val="00356D22"/>
    <w:rsid w:val="00360DA3"/>
    <w:rsid w:val="00361285"/>
    <w:rsid w:val="00361B45"/>
    <w:rsid w:val="0036271F"/>
    <w:rsid w:val="00363881"/>
    <w:rsid w:val="003654CF"/>
    <w:rsid w:val="00367A0D"/>
    <w:rsid w:val="00371D1E"/>
    <w:rsid w:val="00375245"/>
    <w:rsid w:val="003763A1"/>
    <w:rsid w:val="00380276"/>
    <w:rsid w:val="00381757"/>
    <w:rsid w:val="0038211C"/>
    <w:rsid w:val="0038534F"/>
    <w:rsid w:val="00387620"/>
    <w:rsid w:val="003917DF"/>
    <w:rsid w:val="00391E53"/>
    <w:rsid w:val="003A13A0"/>
    <w:rsid w:val="003A2BA5"/>
    <w:rsid w:val="003A44B6"/>
    <w:rsid w:val="003A6C3E"/>
    <w:rsid w:val="003A6F2E"/>
    <w:rsid w:val="003A723B"/>
    <w:rsid w:val="003A7731"/>
    <w:rsid w:val="003A7ECA"/>
    <w:rsid w:val="003B130E"/>
    <w:rsid w:val="003B15B1"/>
    <w:rsid w:val="003B2CE5"/>
    <w:rsid w:val="003B3107"/>
    <w:rsid w:val="003B3556"/>
    <w:rsid w:val="003B5F25"/>
    <w:rsid w:val="003B7D1F"/>
    <w:rsid w:val="003C177C"/>
    <w:rsid w:val="003C21C7"/>
    <w:rsid w:val="003C2248"/>
    <w:rsid w:val="003C7C4D"/>
    <w:rsid w:val="003D09F5"/>
    <w:rsid w:val="003D1DEA"/>
    <w:rsid w:val="003D1FF3"/>
    <w:rsid w:val="003D3623"/>
    <w:rsid w:val="003D77A3"/>
    <w:rsid w:val="003E0943"/>
    <w:rsid w:val="003E0BC2"/>
    <w:rsid w:val="003E3CA8"/>
    <w:rsid w:val="003E40FF"/>
    <w:rsid w:val="003E48DD"/>
    <w:rsid w:val="003E4D81"/>
    <w:rsid w:val="003E5EED"/>
    <w:rsid w:val="003F09DF"/>
    <w:rsid w:val="003F3CC7"/>
    <w:rsid w:val="003F4284"/>
    <w:rsid w:val="003F4EA6"/>
    <w:rsid w:val="003F567A"/>
    <w:rsid w:val="003F6382"/>
    <w:rsid w:val="00400126"/>
    <w:rsid w:val="0040077A"/>
    <w:rsid w:val="00401FEF"/>
    <w:rsid w:val="00405660"/>
    <w:rsid w:val="00407041"/>
    <w:rsid w:val="004074D4"/>
    <w:rsid w:val="00410482"/>
    <w:rsid w:val="00411BE5"/>
    <w:rsid w:val="00412FFF"/>
    <w:rsid w:val="00413699"/>
    <w:rsid w:val="004146C7"/>
    <w:rsid w:val="00416BF4"/>
    <w:rsid w:val="00416CEA"/>
    <w:rsid w:val="00421DFE"/>
    <w:rsid w:val="004228E3"/>
    <w:rsid w:val="00423903"/>
    <w:rsid w:val="004241AE"/>
    <w:rsid w:val="00426472"/>
    <w:rsid w:val="0043088A"/>
    <w:rsid w:val="00432F25"/>
    <w:rsid w:val="00433A84"/>
    <w:rsid w:val="004343F4"/>
    <w:rsid w:val="00434415"/>
    <w:rsid w:val="00434C7B"/>
    <w:rsid w:val="00436BD9"/>
    <w:rsid w:val="00441056"/>
    <w:rsid w:val="00441B1D"/>
    <w:rsid w:val="00443258"/>
    <w:rsid w:val="00450310"/>
    <w:rsid w:val="00450C2B"/>
    <w:rsid w:val="00450C70"/>
    <w:rsid w:val="00450CEC"/>
    <w:rsid w:val="00450FFA"/>
    <w:rsid w:val="004525F7"/>
    <w:rsid w:val="004527E8"/>
    <w:rsid w:val="00453802"/>
    <w:rsid w:val="00455504"/>
    <w:rsid w:val="004558B8"/>
    <w:rsid w:val="00456AEE"/>
    <w:rsid w:val="0046120C"/>
    <w:rsid w:val="004621D6"/>
    <w:rsid w:val="00465D25"/>
    <w:rsid w:val="0047279D"/>
    <w:rsid w:val="00475505"/>
    <w:rsid w:val="004802DE"/>
    <w:rsid w:val="00483AC7"/>
    <w:rsid w:val="00484C27"/>
    <w:rsid w:val="004850AD"/>
    <w:rsid w:val="00490F8A"/>
    <w:rsid w:val="004925F1"/>
    <w:rsid w:val="00492F8C"/>
    <w:rsid w:val="0049466C"/>
    <w:rsid w:val="00495000"/>
    <w:rsid w:val="004A002C"/>
    <w:rsid w:val="004A0A22"/>
    <w:rsid w:val="004A1B6A"/>
    <w:rsid w:val="004A26CD"/>
    <w:rsid w:val="004A2DFA"/>
    <w:rsid w:val="004A5FBA"/>
    <w:rsid w:val="004A74B1"/>
    <w:rsid w:val="004A78C5"/>
    <w:rsid w:val="004A7FA4"/>
    <w:rsid w:val="004B2105"/>
    <w:rsid w:val="004B25FB"/>
    <w:rsid w:val="004B27CC"/>
    <w:rsid w:val="004B3E91"/>
    <w:rsid w:val="004B4F06"/>
    <w:rsid w:val="004B50B1"/>
    <w:rsid w:val="004B59B5"/>
    <w:rsid w:val="004B6DE9"/>
    <w:rsid w:val="004B7875"/>
    <w:rsid w:val="004B7F35"/>
    <w:rsid w:val="004C1034"/>
    <w:rsid w:val="004C2096"/>
    <w:rsid w:val="004C2678"/>
    <w:rsid w:val="004C5828"/>
    <w:rsid w:val="004C7C04"/>
    <w:rsid w:val="004D2BF4"/>
    <w:rsid w:val="004D354B"/>
    <w:rsid w:val="004D3C22"/>
    <w:rsid w:val="004D52AF"/>
    <w:rsid w:val="004D6878"/>
    <w:rsid w:val="004D7450"/>
    <w:rsid w:val="004E0339"/>
    <w:rsid w:val="004E0C25"/>
    <w:rsid w:val="004E298A"/>
    <w:rsid w:val="004E3318"/>
    <w:rsid w:val="004E3585"/>
    <w:rsid w:val="004E36FD"/>
    <w:rsid w:val="004E4490"/>
    <w:rsid w:val="004E6A94"/>
    <w:rsid w:val="004E742C"/>
    <w:rsid w:val="004F0A7A"/>
    <w:rsid w:val="004F1899"/>
    <w:rsid w:val="004F40A4"/>
    <w:rsid w:val="004F5E07"/>
    <w:rsid w:val="004F7570"/>
    <w:rsid w:val="00503564"/>
    <w:rsid w:val="00503F1B"/>
    <w:rsid w:val="0050436A"/>
    <w:rsid w:val="00505701"/>
    <w:rsid w:val="005064B2"/>
    <w:rsid w:val="005069DC"/>
    <w:rsid w:val="005079CA"/>
    <w:rsid w:val="00510F02"/>
    <w:rsid w:val="00510FC6"/>
    <w:rsid w:val="0051126A"/>
    <w:rsid w:val="005143F8"/>
    <w:rsid w:val="00514FA5"/>
    <w:rsid w:val="00516E35"/>
    <w:rsid w:val="00517C8F"/>
    <w:rsid w:val="00522242"/>
    <w:rsid w:val="0052510E"/>
    <w:rsid w:val="0052685A"/>
    <w:rsid w:val="00531ACE"/>
    <w:rsid w:val="0053242F"/>
    <w:rsid w:val="0053305C"/>
    <w:rsid w:val="00533C1B"/>
    <w:rsid w:val="00535635"/>
    <w:rsid w:val="0053616F"/>
    <w:rsid w:val="00537279"/>
    <w:rsid w:val="005421DB"/>
    <w:rsid w:val="00543F77"/>
    <w:rsid w:val="0054409B"/>
    <w:rsid w:val="0055566E"/>
    <w:rsid w:val="0056116F"/>
    <w:rsid w:val="00563422"/>
    <w:rsid w:val="0056369C"/>
    <w:rsid w:val="00564293"/>
    <w:rsid w:val="00565036"/>
    <w:rsid w:val="0057080F"/>
    <w:rsid w:val="00571732"/>
    <w:rsid w:val="00574D99"/>
    <w:rsid w:val="00577030"/>
    <w:rsid w:val="005802E1"/>
    <w:rsid w:val="00580998"/>
    <w:rsid w:val="00581624"/>
    <w:rsid w:val="0058790E"/>
    <w:rsid w:val="00590627"/>
    <w:rsid w:val="00592DCD"/>
    <w:rsid w:val="00593780"/>
    <w:rsid w:val="005938D5"/>
    <w:rsid w:val="00594D0A"/>
    <w:rsid w:val="0059503C"/>
    <w:rsid w:val="005964AB"/>
    <w:rsid w:val="0059676F"/>
    <w:rsid w:val="005A04AD"/>
    <w:rsid w:val="005A1396"/>
    <w:rsid w:val="005A2EA1"/>
    <w:rsid w:val="005A3486"/>
    <w:rsid w:val="005A4AA8"/>
    <w:rsid w:val="005A61A9"/>
    <w:rsid w:val="005A6222"/>
    <w:rsid w:val="005A681E"/>
    <w:rsid w:val="005B1991"/>
    <w:rsid w:val="005B33EF"/>
    <w:rsid w:val="005B38E9"/>
    <w:rsid w:val="005B4F5A"/>
    <w:rsid w:val="005B7287"/>
    <w:rsid w:val="005B7497"/>
    <w:rsid w:val="005C0608"/>
    <w:rsid w:val="005C1C6E"/>
    <w:rsid w:val="005C21B6"/>
    <w:rsid w:val="005C6633"/>
    <w:rsid w:val="005C69B5"/>
    <w:rsid w:val="005D1F87"/>
    <w:rsid w:val="005D2CA4"/>
    <w:rsid w:val="005D3B02"/>
    <w:rsid w:val="005D3CA2"/>
    <w:rsid w:val="005D3D7B"/>
    <w:rsid w:val="005D49B2"/>
    <w:rsid w:val="005D63D7"/>
    <w:rsid w:val="005E2028"/>
    <w:rsid w:val="005E2A32"/>
    <w:rsid w:val="005E324A"/>
    <w:rsid w:val="005E4A9A"/>
    <w:rsid w:val="005E7C22"/>
    <w:rsid w:val="005F288B"/>
    <w:rsid w:val="005F2C74"/>
    <w:rsid w:val="005F5BBE"/>
    <w:rsid w:val="005F630E"/>
    <w:rsid w:val="005F754A"/>
    <w:rsid w:val="006009BA"/>
    <w:rsid w:val="006037ED"/>
    <w:rsid w:val="00603950"/>
    <w:rsid w:val="00610384"/>
    <w:rsid w:val="006105B5"/>
    <w:rsid w:val="00611BB8"/>
    <w:rsid w:val="006130CF"/>
    <w:rsid w:val="00613F58"/>
    <w:rsid w:val="00621C80"/>
    <w:rsid w:val="00622151"/>
    <w:rsid w:val="00622276"/>
    <w:rsid w:val="00622BC8"/>
    <w:rsid w:val="00623719"/>
    <w:rsid w:val="006238B6"/>
    <w:rsid w:val="0062549F"/>
    <w:rsid w:val="00625535"/>
    <w:rsid w:val="00626D88"/>
    <w:rsid w:val="006302EC"/>
    <w:rsid w:val="00631080"/>
    <w:rsid w:val="00631DED"/>
    <w:rsid w:val="00632A58"/>
    <w:rsid w:val="006330B4"/>
    <w:rsid w:val="00636702"/>
    <w:rsid w:val="00640AB1"/>
    <w:rsid w:val="00640ADE"/>
    <w:rsid w:val="006431C1"/>
    <w:rsid w:val="00643F6C"/>
    <w:rsid w:val="006460D7"/>
    <w:rsid w:val="00651042"/>
    <w:rsid w:val="006542AC"/>
    <w:rsid w:val="00654311"/>
    <w:rsid w:val="006548EC"/>
    <w:rsid w:val="00656A31"/>
    <w:rsid w:val="00660204"/>
    <w:rsid w:val="00660246"/>
    <w:rsid w:val="00661667"/>
    <w:rsid w:val="006625D9"/>
    <w:rsid w:val="006639AD"/>
    <w:rsid w:val="00663E48"/>
    <w:rsid w:val="006677C0"/>
    <w:rsid w:val="00672664"/>
    <w:rsid w:val="006732A9"/>
    <w:rsid w:val="00675AAB"/>
    <w:rsid w:val="00676283"/>
    <w:rsid w:val="00676C8F"/>
    <w:rsid w:val="00677CB5"/>
    <w:rsid w:val="0068012C"/>
    <w:rsid w:val="0068177F"/>
    <w:rsid w:val="00682868"/>
    <w:rsid w:val="00682A6C"/>
    <w:rsid w:val="0068472C"/>
    <w:rsid w:val="00687F0B"/>
    <w:rsid w:val="00691E48"/>
    <w:rsid w:val="006923EB"/>
    <w:rsid w:val="00694F55"/>
    <w:rsid w:val="00696DA3"/>
    <w:rsid w:val="006A2289"/>
    <w:rsid w:val="006A2B92"/>
    <w:rsid w:val="006A2BC7"/>
    <w:rsid w:val="006A30AE"/>
    <w:rsid w:val="006A4640"/>
    <w:rsid w:val="006B0FD4"/>
    <w:rsid w:val="006B2B17"/>
    <w:rsid w:val="006B2B8E"/>
    <w:rsid w:val="006B36E2"/>
    <w:rsid w:val="006B5E87"/>
    <w:rsid w:val="006C1CB2"/>
    <w:rsid w:val="006C38ED"/>
    <w:rsid w:val="006C5597"/>
    <w:rsid w:val="006C75EA"/>
    <w:rsid w:val="006D0093"/>
    <w:rsid w:val="006D27A1"/>
    <w:rsid w:val="006D35FE"/>
    <w:rsid w:val="006D3CE2"/>
    <w:rsid w:val="006D6C3E"/>
    <w:rsid w:val="006E0713"/>
    <w:rsid w:val="006E216E"/>
    <w:rsid w:val="006E272B"/>
    <w:rsid w:val="006E2D67"/>
    <w:rsid w:val="006E3051"/>
    <w:rsid w:val="006E368B"/>
    <w:rsid w:val="006E41E8"/>
    <w:rsid w:val="006E6D54"/>
    <w:rsid w:val="006E76BC"/>
    <w:rsid w:val="006F0C4C"/>
    <w:rsid w:val="006F0DF6"/>
    <w:rsid w:val="006F1C14"/>
    <w:rsid w:val="006F1FF7"/>
    <w:rsid w:val="006F3183"/>
    <w:rsid w:val="006F4705"/>
    <w:rsid w:val="006F6EF3"/>
    <w:rsid w:val="007009E9"/>
    <w:rsid w:val="00702820"/>
    <w:rsid w:val="00703853"/>
    <w:rsid w:val="00704B0F"/>
    <w:rsid w:val="00705096"/>
    <w:rsid w:val="00706178"/>
    <w:rsid w:val="00706841"/>
    <w:rsid w:val="00706DD8"/>
    <w:rsid w:val="00714865"/>
    <w:rsid w:val="00717DE7"/>
    <w:rsid w:val="00721BB5"/>
    <w:rsid w:val="00722E24"/>
    <w:rsid w:val="00725268"/>
    <w:rsid w:val="0072608F"/>
    <w:rsid w:val="00726287"/>
    <w:rsid w:val="00726CA3"/>
    <w:rsid w:val="0073032C"/>
    <w:rsid w:val="00731190"/>
    <w:rsid w:val="00731A59"/>
    <w:rsid w:val="00731E67"/>
    <w:rsid w:val="00732D91"/>
    <w:rsid w:val="00732F49"/>
    <w:rsid w:val="00733CEB"/>
    <w:rsid w:val="00734021"/>
    <w:rsid w:val="00736706"/>
    <w:rsid w:val="00740BF5"/>
    <w:rsid w:val="00742395"/>
    <w:rsid w:val="007428E8"/>
    <w:rsid w:val="00742930"/>
    <w:rsid w:val="007442C0"/>
    <w:rsid w:val="007443A4"/>
    <w:rsid w:val="00747917"/>
    <w:rsid w:val="0075148F"/>
    <w:rsid w:val="00751754"/>
    <w:rsid w:val="00751A3C"/>
    <w:rsid w:val="007545C8"/>
    <w:rsid w:val="0075492A"/>
    <w:rsid w:val="00755924"/>
    <w:rsid w:val="00756FA0"/>
    <w:rsid w:val="007602CB"/>
    <w:rsid w:val="007618D4"/>
    <w:rsid w:val="007639B4"/>
    <w:rsid w:val="0076655B"/>
    <w:rsid w:val="00767465"/>
    <w:rsid w:val="0077061A"/>
    <w:rsid w:val="00770E8E"/>
    <w:rsid w:val="0077182E"/>
    <w:rsid w:val="00771E08"/>
    <w:rsid w:val="007737AF"/>
    <w:rsid w:val="0077429C"/>
    <w:rsid w:val="00775993"/>
    <w:rsid w:val="007771D6"/>
    <w:rsid w:val="00780B1D"/>
    <w:rsid w:val="00785202"/>
    <w:rsid w:val="007862EB"/>
    <w:rsid w:val="0078724F"/>
    <w:rsid w:val="00787314"/>
    <w:rsid w:val="00791DC9"/>
    <w:rsid w:val="007927D7"/>
    <w:rsid w:val="00792CD3"/>
    <w:rsid w:val="00795476"/>
    <w:rsid w:val="007960A3"/>
    <w:rsid w:val="007960AC"/>
    <w:rsid w:val="00796D3D"/>
    <w:rsid w:val="00797729"/>
    <w:rsid w:val="007A0456"/>
    <w:rsid w:val="007A08A2"/>
    <w:rsid w:val="007A1EF2"/>
    <w:rsid w:val="007A22B3"/>
    <w:rsid w:val="007A38B3"/>
    <w:rsid w:val="007A6C2D"/>
    <w:rsid w:val="007B0374"/>
    <w:rsid w:val="007B4088"/>
    <w:rsid w:val="007B4992"/>
    <w:rsid w:val="007B6544"/>
    <w:rsid w:val="007C1B08"/>
    <w:rsid w:val="007C25E0"/>
    <w:rsid w:val="007C30F9"/>
    <w:rsid w:val="007C49CE"/>
    <w:rsid w:val="007C6393"/>
    <w:rsid w:val="007C6602"/>
    <w:rsid w:val="007C66BD"/>
    <w:rsid w:val="007C7530"/>
    <w:rsid w:val="007D093B"/>
    <w:rsid w:val="007D095B"/>
    <w:rsid w:val="007D1F06"/>
    <w:rsid w:val="007D41CD"/>
    <w:rsid w:val="007D49E3"/>
    <w:rsid w:val="007D4C3A"/>
    <w:rsid w:val="007D54F2"/>
    <w:rsid w:val="007D5B83"/>
    <w:rsid w:val="007D613B"/>
    <w:rsid w:val="007D6494"/>
    <w:rsid w:val="007D7CC9"/>
    <w:rsid w:val="007E0B25"/>
    <w:rsid w:val="007E277C"/>
    <w:rsid w:val="007E3BD1"/>
    <w:rsid w:val="007E3E96"/>
    <w:rsid w:val="007E4529"/>
    <w:rsid w:val="007E49ED"/>
    <w:rsid w:val="007E6148"/>
    <w:rsid w:val="007E7CC8"/>
    <w:rsid w:val="007F12B9"/>
    <w:rsid w:val="007F297D"/>
    <w:rsid w:val="007F4644"/>
    <w:rsid w:val="007F70B3"/>
    <w:rsid w:val="007F74D8"/>
    <w:rsid w:val="008031E7"/>
    <w:rsid w:val="00804F37"/>
    <w:rsid w:val="00805F5F"/>
    <w:rsid w:val="008131F5"/>
    <w:rsid w:val="00814CEA"/>
    <w:rsid w:val="008173D4"/>
    <w:rsid w:val="00820090"/>
    <w:rsid w:val="008205BC"/>
    <w:rsid w:val="00824FE0"/>
    <w:rsid w:val="008258F2"/>
    <w:rsid w:val="0082680A"/>
    <w:rsid w:val="00826EF1"/>
    <w:rsid w:val="00827AB4"/>
    <w:rsid w:val="00830122"/>
    <w:rsid w:val="0083181B"/>
    <w:rsid w:val="00833062"/>
    <w:rsid w:val="00833CF2"/>
    <w:rsid w:val="00833EC8"/>
    <w:rsid w:val="0083530C"/>
    <w:rsid w:val="00836C3B"/>
    <w:rsid w:val="00840040"/>
    <w:rsid w:val="00841591"/>
    <w:rsid w:val="00841910"/>
    <w:rsid w:val="00841EB1"/>
    <w:rsid w:val="00842330"/>
    <w:rsid w:val="00843E34"/>
    <w:rsid w:val="0084418E"/>
    <w:rsid w:val="00844681"/>
    <w:rsid w:val="008447E9"/>
    <w:rsid w:val="008452B5"/>
    <w:rsid w:val="00850181"/>
    <w:rsid w:val="00852933"/>
    <w:rsid w:val="00854371"/>
    <w:rsid w:val="008547F7"/>
    <w:rsid w:val="008565B7"/>
    <w:rsid w:val="00857866"/>
    <w:rsid w:val="00857E25"/>
    <w:rsid w:val="00860ABE"/>
    <w:rsid w:val="00861D94"/>
    <w:rsid w:val="00861E2E"/>
    <w:rsid w:val="0086407D"/>
    <w:rsid w:val="0086456F"/>
    <w:rsid w:val="00864699"/>
    <w:rsid w:val="008656E0"/>
    <w:rsid w:val="008658ED"/>
    <w:rsid w:val="00865F5E"/>
    <w:rsid w:val="00865F96"/>
    <w:rsid w:val="0086726C"/>
    <w:rsid w:val="00870792"/>
    <w:rsid w:val="00873503"/>
    <w:rsid w:val="00874285"/>
    <w:rsid w:val="00874314"/>
    <w:rsid w:val="008751B9"/>
    <w:rsid w:val="0087532A"/>
    <w:rsid w:val="00875391"/>
    <w:rsid w:val="00876245"/>
    <w:rsid w:val="00876D3B"/>
    <w:rsid w:val="008828DE"/>
    <w:rsid w:val="008837A7"/>
    <w:rsid w:val="00884EB4"/>
    <w:rsid w:val="00885F58"/>
    <w:rsid w:val="00890549"/>
    <w:rsid w:val="00891E0E"/>
    <w:rsid w:val="008928C7"/>
    <w:rsid w:val="008942A6"/>
    <w:rsid w:val="00894E85"/>
    <w:rsid w:val="00895EED"/>
    <w:rsid w:val="00896D38"/>
    <w:rsid w:val="008A09C5"/>
    <w:rsid w:val="008A1292"/>
    <w:rsid w:val="008A2919"/>
    <w:rsid w:val="008A39CA"/>
    <w:rsid w:val="008A4693"/>
    <w:rsid w:val="008A51FB"/>
    <w:rsid w:val="008A5B66"/>
    <w:rsid w:val="008A7E73"/>
    <w:rsid w:val="008B321E"/>
    <w:rsid w:val="008B39A8"/>
    <w:rsid w:val="008B3AD6"/>
    <w:rsid w:val="008B414F"/>
    <w:rsid w:val="008B4F1F"/>
    <w:rsid w:val="008B535C"/>
    <w:rsid w:val="008B5893"/>
    <w:rsid w:val="008B683A"/>
    <w:rsid w:val="008B6C90"/>
    <w:rsid w:val="008C05F8"/>
    <w:rsid w:val="008C13CF"/>
    <w:rsid w:val="008C2408"/>
    <w:rsid w:val="008C2F90"/>
    <w:rsid w:val="008C6AA4"/>
    <w:rsid w:val="008C7CAF"/>
    <w:rsid w:val="008D07AA"/>
    <w:rsid w:val="008D08C8"/>
    <w:rsid w:val="008D11E5"/>
    <w:rsid w:val="008D1AC3"/>
    <w:rsid w:val="008D384A"/>
    <w:rsid w:val="008D4097"/>
    <w:rsid w:val="008D5278"/>
    <w:rsid w:val="008D6731"/>
    <w:rsid w:val="008E0006"/>
    <w:rsid w:val="008E0D0C"/>
    <w:rsid w:val="008E12A1"/>
    <w:rsid w:val="008E4DCB"/>
    <w:rsid w:val="008E5E37"/>
    <w:rsid w:val="008F1FDD"/>
    <w:rsid w:val="008F3CEA"/>
    <w:rsid w:val="00900C71"/>
    <w:rsid w:val="00900EBA"/>
    <w:rsid w:val="00902B2D"/>
    <w:rsid w:val="00903BB3"/>
    <w:rsid w:val="00903DF5"/>
    <w:rsid w:val="00906F08"/>
    <w:rsid w:val="009075D6"/>
    <w:rsid w:val="009105C2"/>
    <w:rsid w:val="00911729"/>
    <w:rsid w:val="00912B98"/>
    <w:rsid w:val="009160FF"/>
    <w:rsid w:val="00916F3D"/>
    <w:rsid w:val="00920946"/>
    <w:rsid w:val="009209CC"/>
    <w:rsid w:val="00924350"/>
    <w:rsid w:val="00925215"/>
    <w:rsid w:val="0092703B"/>
    <w:rsid w:val="00927A2E"/>
    <w:rsid w:val="00927A35"/>
    <w:rsid w:val="00934479"/>
    <w:rsid w:val="009354EC"/>
    <w:rsid w:val="009355BE"/>
    <w:rsid w:val="00935BA3"/>
    <w:rsid w:val="009360E7"/>
    <w:rsid w:val="009363C4"/>
    <w:rsid w:val="00936C4E"/>
    <w:rsid w:val="00940047"/>
    <w:rsid w:val="009405B9"/>
    <w:rsid w:val="0094206C"/>
    <w:rsid w:val="0094247D"/>
    <w:rsid w:val="00942941"/>
    <w:rsid w:val="00945F95"/>
    <w:rsid w:val="00950E46"/>
    <w:rsid w:val="009513F6"/>
    <w:rsid w:val="00956D51"/>
    <w:rsid w:val="00957C1B"/>
    <w:rsid w:val="00960DA7"/>
    <w:rsid w:val="00961084"/>
    <w:rsid w:val="00961CF7"/>
    <w:rsid w:val="00962AFB"/>
    <w:rsid w:val="0096480C"/>
    <w:rsid w:val="00971818"/>
    <w:rsid w:val="00973B01"/>
    <w:rsid w:val="00974C8C"/>
    <w:rsid w:val="009776AC"/>
    <w:rsid w:val="00980FC3"/>
    <w:rsid w:val="009811AE"/>
    <w:rsid w:val="00981487"/>
    <w:rsid w:val="00983B54"/>
    <w:rsid w:val="00983C41"/>
    <w:rsid w:val="00984542"/>
    <w:rsid w:val="00984B7A"/>
    <w:rsid w:val="0098586A"/>
    <w:rsid w:val="0099008C"/>
    <w:rsid w:val="0099032A"/>
    <w:rsid w:val="00990B59"/>
    <w:rsid w:val="009920E6"/>
    <w:rsid w:val="00992189"/>
    <w:rsid w:val="00993617"/>
    <w:rsid w:val="009956AA"/>
    <w:rsid w:val="0099584C"/>
    <w:rsid w:val="00995AB0"/>
    <w:rsid w:val="00996B4B"/>
    <w:rsid w:val="009975F5"/>
    <w:rsid w:val="009A0F35"/>
    <w:rsid w:val="009B0FF8"/>
    <w:rsid w:val="009B1735"/>
    <w:rsid w:val="009B3303"/>
    <w:rsid w:val="009B39CC"/>
    <w:rsid w:val="009B5FA1"/>
    <w:rsid w:val="009B6C0F"/>
    <w:rsid w:val="009B6F9A"/>
    <w:rsid w:val="009B75EC"/>
    <w:rsid w:val="009B78A4"/>
    <w:rsid w:val="009C074D"/>
    <w:rsid w:val="009C0B89"/>
    <w:rsid w:val="009C0ECC"/>
    <w:rsid w:val="009C534E"/>
    <w:rsid w:val="009C57B9"/>
    <w:rsid w:val="009C5DF9"/>
    <w:rsid w:val="009C6229"/>
    <w:rsid w:val="009D1CCE"/>
    <w:rsid w:val="009D7E10"/>
    <w:rsid w:val="009E0D43"/>
    <w:rsid w:val="009E0FF7"/>
    <w:rsid w:val="009E4E8E"/>
    <w:rsid w:val="009E6714"/>
    <w:rsid w:val="009F0CBB"/>
    <w:rsid w:val="009F17B5"/>
    <w:rsid w:val="009F405D"/>
    <w:rsid w:val="009F4EFA"/>
    <w:rsid w:val="009F55FA"/>
    <w:rsid w:val="009F6BF5"/>
    <w:rsid w:val="00A040F4"/>
    <w:rsid w:val="00A0412A"/>
    <w:rsid w:val="00A06A51"/>
    <w:rsid w:val="00A11292"/>
    <w:rsid w:val="00A12606"/>
    <w:rsid w:val="00A12F93"/>
    <w:rsid w:val="00A15FAE"/>
    <w:rsid w:val="00A1746C"/>
    <w:rsid w:val="00A175EB"/>
    <w:rsid w:val="00A20997"/>
    <w:rsid w:val="00A21161"/>
    <w:rsid w:val="00A22DCA"/>
    <w:rsid w:val="00A241A9"/>
    <w:rsid w:val="00A24DE7"/>
    <w:rsid w:val="00A32312"/>
    <w:rsid w:val="00A3629F"/>
    <w:rsid w:val="00A37614"/>
    <w:rsid w:val="00A37B52"/>
    <w:rsid w:val="00A40BE7"/>
    <w:rsid w:val="00A40F73"/>
    <w:rsid w:val="00A41347"/>
    <w:rsid w:val="00A41BAC"/>
    <w:rsid w:val="00A41E01"/>
    <w:rsid w:val="00A44282"/>
    <w:rsid w:val="00A4569A"/>
    <w:rsid w:val="00A45941"/>
    <w:rsid w:val="00A45F56"/>
    <w:rsid w:val="00A465F0"/>
    <w:rsid w:val="00A512D5"/>
    <w:rsid w:val="00A5137E"/>
    <w:rsid w:val="00A52541"/>
    <w:rsid w:val="00A54719"/>
    <w:rsid w:val="00A56157"/>
    <w:rsid w:val="00A56F09"/>
    <w:rsid w:val="00A57B95"/>
    <w:rsid w:val="00A60093"/>
    <w:rsid w:val="00A606F8"/>
    <w:rsid w:val="00A60D34"/>
    <w:rsid w:val="00A60D88"/>
    <w:rsid w:val="00A62921"/>
    <w:rsid w:val="00A63D2F"/>
    <w:rsid w:val="00A6416A"/>
    <w:rsid w:val="00A643D7"/>
    <w:rsid w:val="00A64DC4"/>
    <w:rsid w:val="00A66F4B"/>
    <w:rsid w:val="00A67322"/>
    <w:rsid w:val="00A71120"/>
    <w:rsid w:val="00A71EC7"/>
    <w:rsid w:val="00A731E5"/>
    <w:rsid w:val="00A74445"/>
    <w:rsid w:val="00A74ED2"/>
    <w:rsid w:val="00A80226"/>
    <w:rsid w:val="00A8333D"/>
    <w:rsid w:val="00A848F8"/>
    <w:rsid w:val="00A85663"/>
    <w:rsid w:val="00A85CAF"/>
    <w:rsid w:val="00A8600E"/>
    <w:rsid w:val="00A8744B"/>
    <w:rsid w:val="00A875DA"/>
    <w:rsid w:val="00A911CC"/>
    <w:rsid w:val="00A91476"/>
    <w:rsid w:val="00A91A7F"/>
    <w:rsid w:val="00A930BA"/>
    <w:rsid w:val="00A939D9"/>
    <w:rsid w:val="00A946B6"/>
    <w:rsid w:val="00A94B69"/>
    <w:rsid w:val="00A94D15"/>
    <w:rsid w:val="00A9599B"/>
    <w:rsid w:val="00AA07A2"/>
    <w:rsid w:val="00AA4EAE"/>
    <w:rsid w:val="00AA5966"/>
    <w:rsid w:val="00AB2B90"/>
    <w:rsid w:val="00AB42FF"/>
    <w:rsid w:val="00AB505F"/>
    <w:rsid w:val="00AB57C9"/>
    <w:rsid w:val="00AB58EB"/>
    <w:rsid w:val="00AB5954"/>
    <w:rsid w:val="00AB75A7"/>
    <w:rsid w:val="00AC1655"/>
    <w:rsid w:val="00AC2681"/>
    <w:rsid w:val="00AC3AAF"/>
    <w:rsid w:val="00AC486C"/>
    <w:rsid w:val="00AC48D7"/>
    <w:rsid w:val="00AC6380"/>
    <w:rsid w:val="00AC7213"/>
    <w:rsid w:val="00AD0D25"/>
    <w:rsid w:val="00AD29C0"/>
    <w:rsid w:val="00AD2B17"/>
    <w:rsid w:val="00AD3BC6"/>
    <w:rsid w:val="00AD3C73"/>
    <w:rsid w:val="00AD4975"/>
    <w:rsid w:val="00AD6626"/>
    <w:rsid w:val="00AD68C5"/>
    <w:rsid w:val="00AD6A4F"/>
    <w:rsid w:val="00AE102E"/>
    <w:rsid w:val="00AE214C"/>
    <w:rsid w:val="00AE58BD"/>
    <w:rsid w:val="00AE77A3"/>
    <w:rsid w:val="00AF1934"/>
    <w:rsid w:val="00AF306B"/>
    <w:rsid w:val="00AF5B16"/>
    <w:rsid w:val="00AF5B7B"/>
    <w:rsid w:val="00AF67B3"/>
    <w:rsid w:val="00AF6CBE"/>
    <w:rsid w:val="00AF7933"/>
    <w:rsid w:val="00B01A68"/>
    <w:rsid w:val="00B01BD6"/>
    <w:rsid w:val="00B03F2A"/>
    <w:rsid w:val="00B0438E"/>
    <w:rsid w:val="00B04A6A"/>
    <w:rsid w:val="00B053B6"/>
    <w:rsid w:val="00B058D5"/>
    <w:rsid w:val="00B059B8"/>
    <w:rsid w:val="00B05CAE"/>
    <w:rsid w:val="00B0626B"/>
    <w:rsid w:val="00B06B7D"/>
    <w:rsid w:val="00B108AA"/>
    <w:rsid w:val="00B12CB3"/>
    <w:rsid w:val="00B145DE"/>
    <w:rsid w:val="00B149F4"/>
    <w:rsid w:val="00B1666A"/>
    <w:rsid w:val="00B16C7D"/>
    <w:rsid w:val="00B1727A"/>
    <w:rsid w:val="00B2055F"/>
    <w:rsid w:val="00B22148"/>
    <w:rsid w:val="00B227A1"/>
    <w:rsid w:val="00B23808"/>
    <w:rsid w:val="00B24496"/>
    <w:rsid w:val="00B258CB"/>
    <w:rsid w:val="00B30067"/>
    <w:rsid w:val="00B30122"/>
    <w:rsid w:val="00B31C8E"/>
    <w:rsid w:val="00B36502"/>
    <w:rsid w:val="00B40722"/>
    <w:rsid w:val="00B41AE6"/>
    <w:rsid w:val="00B42AED"/>
    <w:rsid w:val="00B45FA5"/>
    <w:rsid w:val="00B522A1"/>
    <w:rsid w:val="00B55429"/>
    <w:rsid w:val="00B64078"/>
    <w:rsid w:val="00B66093"/>
    <w:rsid w:val="00B670C0"/>
    <w:rsid w:val="00B67292"/>
    <w:rsid w:val="00B71493"/>
    <w:rsid w:val="00B71CBF"/>
    <w:rsid w:val="00B72BE6"/>
    <w:rsid w:val="00B75A1C"/>
    <w:rsid w:val="00B75F10"/>
    <w:rsid w:val="00B813AE"/>
    <w:rsid w:val="00B818B8"/>
    <w:rsid w:val="00B82409"/>
    <w:rsid w:val="00B828AF"/>
    <w:rsid w:val="00B83427"/>
    <w:rsid w:val="00B8559A"/>
    <w:rsid w:val="00B86D9F"/>
    <w:rsid w:val="00B910B8"/>
    <w:rsid w:val="00B933E7"/>
    <w:rsid w:val="00B93B30"/>
    <w:rsid w:val="00B940FC"/>
    <w:rsid w:val="00B942EA"/>
    <w:rsid w:val="00B94D35"/>
    <w:rsid w:val="00B96C80"/>
    <w:rsid w:val="00B97ABE"/>
    <w:rsid w:val="00BA0236"/>
    <w:rsid w:val="00BA0AB3"/>
    <w:rsid w:val="00BA15A7"/>
    <w:rsid w:val="00BA361C"/>
    <w:rsid w:val="00BA73A4"/>
    <w:rsid w:val="00BB1F94"/>
    <w:rsid w:val="00BB38A5"/>
    <w:rsid w:val="00BB42A0"/>
    <w:rsid w:val="00BB544A"/>
    <w:rsid w:val="00BB65F7"/>
    <w:rsid w:val="00BB6CC0"/>
    <w:rsid w:val="00BC1CCA"/>
    <w:rsid w:val="00BC34B2"/>
    <w:rsid w:val="00BC456C"/>
    <w:rsid w:val="00BC49B5"/>
    <w:rsid w:val="00BC4FA9"/>
    <w:rsid w:val="00BC5811"/>
    <w:rsid w:val="00BC5E90"/>
    <w:rsid w:val="00BD00C2"/>
    <w:rsid w:val="00BD3ABE"/>
    <w:rsid w:val="00BD5690"/>
    <w:rsid w:val="00BD5A08"/>
    <w:rsid w:val="00BD7B67"/>
    <w:rsid w:val="00BE4AB9"/>
    <w:rsid w:val="00BE5CE7"/>
    <w:rsid w:val="00BF0663"/>
    <w:rsid w:val="00BF4998"/>
    <w:rsid w:val="00BF4FBC"/>
    <w:rsid w:val="00BF50AE"/>
    <w:rsid w:val="00BF52CE"/>
    <w:rsid w:val="00BF6713"/>
    <w:rsid w:val="00BF6ECC"/>
    <w:rsid w:val="00BF6ED1"/>
    <w:rsid w:val="00BF7F6B"/>
    <w:rsid w:val="00C10408"/>
    <w:rsid w:val="00C10A80"/>
    <w:rsid w:val="00C10CBB"/>
    <w:rsid w:val="00C10EA6"/>
    <w:rsid w:val="00C1196D"/>
    <w:rsid w:val="00C16059"/>
    <w:rsid w:val="00C1622D"/>
    <w:rsid w:val="00C17F7C"/>
    <w:rsid w:val="00C17FAA"/>
    <w:rsid w:val="00C203CF"/>
    <w:rsid w:val="00C21432"/>
    <w:rsid w:val="00C2216C"/>
    <w:rsid w:val="00C2246C"/>
    <w:rsid w:val="00C22CDF"/>
    <w:rsid w:val="00C2565A"/>
    <w:rsid w:val="00C26C6F"/>
    <w:rsid w:val="00C27849"/>
    <w:rsid w:val="00C31A89"/>
    <w:rsid w:val="00C35563"/>
    <w:rsid w:val="00C460C6"/>
    <w:rsid w:val="00C51AE9"/>
    <w:rsid w:val="00C53634"/>
    <w:rsid w:val="00C542F9"/>
    <w:rsid w:val="00C54F37"/>
    <w:rsid w:val="00C576F8"/>
    <w:rsid w:val="00C62C7B"/>
    <w:rsid w:val="00C63DF8"/>
    <w:rsid w:val="00C64080"/>
    <w:rsid w:val="00C65720"/>
    <w:rsid w:val="00C73795"/>
    <w:rsid w:val="00C74947"/>
    <w:rsid w:val="00C76B3C"/>
    <w:rsid w:val="00C8082B"/>
    <w:rsid w:val="00C80F44"/>
    <w:rsid w:val="00C817A8"/>
    <w:rsid w:val="00C84554"/>
    <w:rsid w:val="00C85723"/>
    <w:rsid w:val="00C8741C"/>
    <w:rsid w:val="00C9001B"/>
    <w:rsid w:val="00C90AAD"/>
    <w:rsid w:val="00C93771"/>
    <w:rsid w:val="00C939C7"/>
    <w:rsid w:val="00C93F26"/>
    <w:rsid w:val="00C93F52"/>
    <w:rsid w:val="00C95EF2"/>
    <w:rsid w:val="00C96247"/>
    <w:rsid w:val="00CA13BE"/>
    <w:rsid w:val="00CA4EB7"/>
    <w:rsid w:val="00CA5E80"/>
    <w:rsid w:val="00CA74C6"/>
    <w:rsid w:val="00CB3018"/>
    <w:rsid w:val="00CB38CD"/>
    <w:rsid w:val="00CB3DBE"/>
    <w:rsid w:val="00CB509E"/>
    <w:rsid w:val="00CB5B04"/>
    <w:rsid w:val="00CB62B1"/>
    <w:rsid w:val="00CC0538"/>
    <w:rsid w:val="00CC19CD"/>
    <w:rsid w:val="00CC4DDC"/>
    <w:rsid w:val="00CC69D4"/>
    <w:rsid w:val="00CD0209"/>
    <w:rsid w:val="00CD1611"/>
    <w:rsid w:val="00CD2FBF"/>
    <w:rsid w:val="00CD304B"/>
    <w:rsid w:val="00CD392A"/>
    <w:rsid w:val="00CD39B2"/>
    <w:rsid w:val="00CD5BDD"/>
    <w:rsid w:val="00CD62DC"/>
    <w:rsid w:val="00CD7A06"/>
    <w:rsid w:val="00CE07A2"/>
    <w:rsid w:val="00CE1B1F"/>
    <w:rsid w:val="00CE1C0B"/>
    <w:rsid w:val="00CE2EDC"/>
    <w:rsid w:val="00CE42D0"/>
    <w:rsid w:val="00CE5FD0"/>
    <w:rsid w:val="00CF0DB7"/>
    <w:rsid w:val="00CF1694"/>
    <w:rsid w:val="00CF37CA"/>
    <w:rsid w:val="00CF4AC7"/>
    <w:rsid w:val="00CF562D"/>
    <w:rsid w:val="00CF7C4F"/>
    <w:rsid w:val="00D025AF"/>
    <w:rsid w:val="00D036C5"/>
    <w:rsid w:val="00D03910"/>
    <w:rsid w:val="00D04A6C"/>
    <w:rsid w:val="00D0574A"/>
    <w:rsid w:val="00D109AC"/>
    <w:rsid w:val="00D11116"/>
    <w:rsid w:val="00D117E8"/>
    <w:rsid w:val="00D1213C"/>
    <w:rsid w:val="00D13FC8"/>
    <w:rsid w:val="00D17942"/>
    <w:rsid w:val="00D214CF"/>
    <w:rsid w:val="00D218D7"/>
    <w:rsid w:val="00D23A17"/>
    <w:rsid w:val="00D2685A"/>
    <w:rsid w:val="00D27735"/>
    <w:rsid w:val="00D306C7"/>
    <w:rsid w:val="00D33716"/>
    <w:rsid w:val="00D34659"/>
    <w:rsid w:val="00D34CD7"/>
    <w:rsid w:val="00D374C7"/>
    <w:rsid w:val="00D37B76"/>
    <w:rsid w:val="00D41A89"/>
    <w:rsid w:val="00D42FF0"/>
    <w:rsid w:val="00D44EF2"/>
    <w:rsid w:val="00D45A33"/>
    <w:rsid w:val="00D46102"/>
    <w:rsid w:val="00D4649F"/>
    <w:rsid w:val="00D4650F"/>
    <w:rsid w:val="00D52F49"/>
    <w:rsid w:val="00D53000"/>
    <w:rsid w:val="00D5608F"/>
    <w:rsid w:val="00D57013"/>
    <w:rsid w:val="00D62035"/>
    <w:rsid w:val="00D6445D"/>
    <w:rsid w:val="00D64A87"/>
    <w:rsid w:val="00D671EE"/>
    <w:rsid w:val="00D70BE7"/>
    <w:rsid w:val="00D71F56"/>
    <w:rsid w:val="00D72A4F"/>
    <w:rsid w:val="00D73523"/>
    <w:rsid w:val="00D76003"/>
    <w:rsid w:val="00D77AA5"/>
    <w:rsid w:val="00D80577"/>
    <w:rsid w:val="00D8363C"/>
    <w:rsid w:val="00D85F8B"/>
    <w:rsid w:val="00D87EA6"/>
    <w:rsid w:val="00D91D91"/>
    <w:rsid w:val="00D93154"/>
    <w:rsid w:val="00D93522"/>
    <w:rsid w:val="00D93B6D"/>
    <w:rsid w:val="00D94061"/>
    <w:rsid w:val="00D94E92"/>
    <w:rsid w:val="00D94F20"/>
    <w:rsid w:val="00DA071B"/>
    <w:rsid w:val="00DA099F"/>
    <w:rsid w:val="00DA10F4"/>
    <w:rsid w:val="00DA1409"/>
    <w:rsid w:val="00DA1A9B"/>
    <w:rsid w:val="00DA1B1C"/>
    <w:rsid w:val="00DA2170"/>
    <w:rsid w:val="00DA2BA6"/>
    <w:rsid w:val="00DA3B4F"/>
    <w:rsid w:val="00DA7DCA"/>
    <w:rsid w:val="00DB1325"/>
    <w:rsid w:val="00DB1749"/>
    <w:rsid w:val="00DB2EC8"/>
    <w:rsid w:val="00DB37C9"/>
    <w:rsid w:val="00DB3E8C"/>
    <w:rsid w:val="00DB607D"/>
    <w:rsid w:val="00DB759B"/>
    <w:rsid w:val="00DC0EC0"/>
    <w:rsid w:val="00DC134B"/>
    <w:rsid w:val="00DC1496"/>
    <w:rsid w:val="00DC2359"/>
    <w:rsid w:val="00DC3CAE"/>
    <w:rsid w:val="00DC3D16"/>
    <w:rsid w:val="00DC4B45"/>
    <w:rsid w:val="00DC4E11"/>
    <w:rsid w:val="00DC7651"/>
    <w:rsid w:val="00DD24C2"/>
    <w:rsid w:val="00DD2635"/>
    <w:rsid w:val="00DD3599"/>
    <w:rsid w:val="00DD3DE5"/>
    <w:rsid w:val="00DD617E"/>
    <w:rsid w:val="00DD7D6C"/>
    <w:rsid w:val="00DE02CE"/>
    <w:rsid w:val="00DE032C"/>
    <w:rsid w:val="00DE084A"/>
    <w:rsid w:val="00DE0ED9"/>
    <w:rsid w:val="00DE12EF"/>
    <w:rsid w:val="00DE19FF"/>
    <w:rsid w:val="00DE2F2C"/>
    <w:rsid w:val="00DE3A79"/>
    <w:rsid w:val="00DE4635"/>
    <w:rsid w:val="00DE56DA"/>
    <w:rsid w:val="00DE7EB0"/>
    <w:rsid w:val="00DF0582"/>
    <w:rsid w:val="00DF0753"/>
    <w:rsid w:val="00DF13C2"/>
    <w:rsid w:val="00DF2646"/>
    <w:rsid w:val="00DF4911"/>
    <w:rsid w:val="00DF4FA8"/>
    <w:rsid w:val="00DF561D"/>
    <w:rsid w:val="00DF59E2"/>
    <w:rsid w:val="00DF5E28"/>
    <w:rsid w:val="00DF61D4"/>
    <w:rsid w:val="00DF6564"/>
    <w:rsid w:val="00DF6746"/>
    <w:rsid w:val="00E03BEA"/>
    <w:rsid w:val="00E05A96"/>
    <w:rsid w:val="00E13CC0"/>
    <w:rsid w:val="00E14743"/>
    <w:rsid w:val="00E14A65"/>
    <w:rsid w:val="00E14FA5"/>
    <w:rsid w:val="00E14FBB"/>
    <w:rsid w:val="00E15A53"/>
    <w:rsid w:val="00E167ED"/>
    <w:rsid w:val="00E176F3"/>
    <w:rsid w:val="00E20007"/>
    <w:rsid w:val="00E205AA"/>
    <w:rsid w:val="00E2408B"/>
    <w:rsid w:val="00E24532"/>
    <w:rsid w:val="00E2556C"/>
    <w:rsid w:val="00E2673A"/>
    <w:rsid w:val="00E30131"/>
    <w:rsid w:val="00E32818"/>
    <w:rsid w:val="00E329FD"/>
    <w:rsid w:val="00E33720"/>
    <w:rsid w:val="00E3455B"/>
    <w:rsid w:val="00E35E11"/>
    <w:rsid w:val="00E365D3"/>
    <w:rsid w:val="00E37A72"/>
    <w:rsid w:val="00E37EC2"/>
    <w:rsid w:val="00E41434"/>
    <w:rsid w:val="00E43F65"/>
    <w:rsid w:val="00E45876"/>
    <w:rsid w:val="00E46DBF"/>
    <w:rsid w:val="00E50292"/>
    <w:rsid w:val="00E50CEA"/>
    <w:rsid w:val="00E511B0"/>
    <w:rsid w:val="00E51B1C"/>
    <w:rsid w:val="00E52305"/>
    <w:rsid w:val="00E5289C"/>
    <w:rsid w:val="00E53DD0"/>
    <w:rsid w:val="00E5444F"/>
    <w:rsid w:val="00E54464"/>
    <w:rsid w:val="00E55B8B"/>
    <w:rsid w:val="00E60283"/>
    <w:rsid w:val="00E61705"/>
    <w:rsid w:val="00E6196F"/>
    <w:rsid w:val="00E62616"/>
    <w:rsid w:val="00E63366"/>
    <w:rsid w:val="00E63C19"/>
    <w:rsid w:val="00E64B59"/>
    <w:rsid w:val="00E64C58"/>
    <w:rsid w:val="00E70FDC"/>
    <w:rsid w:val="00E710E9"/>
    <w:rsid w:val="00E7189B"/>
    <w:rsid w:val="00E7238E"/>
    <w:rsid w:val="00E764D6"/>
    <w:rsid w:val="00E76C12"/>
    <w:rsid w:val="00E81336"/>
    <w:rsid w:val="00E8330C"/>
    <w:rsid w:val="00E83647"/>
    <w:rsid w:val="00E83D07"/>
    <w:rsid w:val="00E863CD"/>
    <w:rsid w:val="00E87E83"/>
    <w:rsid w:val="00E90109"/>
    <w:rsid w:val="00E9197A"/>
    <w:rsid w:val="00E943A2"/>
    <w:rsid w:val="00E94BE3"/>
    <w:rsid w:val="00E94C00"/>
    <w:rsid w:val="00E950D8"/>
    <w:rsid w:val="00E96529"/>
    <w:rsid w:val="00E96AEF"/>
    <w:rsid w:val="00EA1E9E"/>
    <w:rsid w:val="00EA2789"/>
    <w:rsid w:val="00EA4FF4"/>
    <w:rsid w:val="00EA54E5"/>
    <w:rsid w:val="00EA76C4"/>
    <w:rsid w:val="00EB1E84"/>
    <w:rsid w:val="00EB38CC"/>
    <w:rsid w:val="00EC19B9"/>
    <w:rsid w:val="00EC2455"/>
    <w:rsid w:val="00EC2B3A"/>
    <w:rsid w:val="00EC2C26"/>
    <w:rsid w:val="00EC318B"/>
    <w:rsid w:val="00EC4862"/>
    <w:rsid w:val="00EC69DE"/>
    <w:rsid w:val="00ED0287"/>
    <w:rsid w:val="00ED3763"/>
    <w:rsid w:val="00ED4918"/>
    <w:rsid w:val="00EE06F5"/>
    <w:rsid w:val="00EE175E"/>
    <w:rsid w:val="00EE5980"/>
    <w:rsid w:val="00EE726C"/>
    <w:rsid w:val="00EE7840"/>
    <w:rsid w:val="00EE7895"/>
    <w:rsid w:val="00EE79BF"/>
    <w:rsid w:val="00EF149A"/>
    <w:rsid w:val="00EF3778"/>
    <w:rsid w:val="00EF71BE"/>
    <w:rsid w:val="00F0136A"/>
    <w:rsid w:val="00F02889"/>
    <w:rsid w:val="00F02D7F"/>
    <w:rsid w:val="00F04383"/>
    <w:rsid w:val="00F04A2F"/>
    <w:rsid w:val="00F05C5F"/>
    <w:rsid w:val="00F06BD7"/>
    <w:rsid w:val="00F079D8"/>
    <w:rsid w:val="00F135CE"/>
    <w:rsid w:val="00F13F6F"/>
    <w:rsid w:val="00F16662"/>
    <w:rsid w:val="00F16A07"/>
    <w:rsid w:val="00F20C0C"/>
    <w:rsid w:val="00F21178"/>
    <w:rsid w:val="00F21837"/>
    <w:rsid w:val="00F22FAA"/>
    <w:rsid w:val="00F230EA"/>
    <w:rsid w:val="00F24CE0"/>
    <w:rsid w:val="00F24F05"/>
    <w:rsid w:val="00F26B10"/>
    <w:rsid w:val="00F30990"/>
    <w:rsid w:val="00F32420"/>
    <w:rsid w:val="00F329C2"/>
    <w:rsid w:val="00F32B81"/>
    <w:rsid w:val="00F352FF"/>
    <w:rsid w:val="00F37B8B"/>
    <w:rsid w:val="00F43074"/>
    <w:rsid w:val="00F436FA"/>
    <w:rsid w:val="00F4433B"/>
    <w:rsid w:val="00F4628F"/>
    <w:rsid w:val="00F47CF7"/>
    <w:rsid w:val="00F510E4"/>
    <w:rsid w:val="00F51335"/>
    <w:rsid w:val="00F5222C"/>
    <w:rsid w:val="00F52992"/>
    <w:rsid w:val="00F54209"/>
    <w:rsid w:val="00F56795"/>
    <w:rsid w:val="00F56B45"/>
    <w:rsid w:val="00F5769E"/>
    <w:rsid w:val="00F579F2"/>
    <w:rsid w:val="00F6454D"/>
    <w:rsid w:val="00F64750"/>
    <w:rsid w:val="00F67F78"/>
    <w:rsid w:val="00F705D1"/>
    <w:rsid w:val="00F7393F"/>
    <w:rsid w:val="00F74F92"/>
    <w:rsid w:val="00F76941"/>
    <w:rsid w:val="00F8102D"/>
    <w:rsid w:val="00F81D97"/>
    <w:rsid w:val="00F82033"/>
    <w:rsid w:val="00F832EE"/>
    <w:rsid w:val="00F87485"/>
    <w:rsid w:val="00F90BFB"/>
    <w:rsid w:val="00F9198B"/>
    <w:rsid w:val="00F919E4"/>
    <w:rsid w:val="00F92499"/>
    <w:rsid w:val="00F944A5"/>
    <w:rsid w:val="00F955AE"/>
    <w:rsid w:val="00F9662F"/>
    <w:rsid w:val="00F968F8"/>
    <w:rsid w:val="00F977AD"/>
    <w:rsid w:val="00FA00B2"/>
    <w:rsid w:val="00FA00BF"/>
    <w:rsid w:val="00FA038B"/>
    <w:rsid w:val="00FA2206"/>
    <w:rsid w:val="00FA3F68"/>
    <w:rsid w:val="00FA4CFB"/>
    <w:rsid w:val="00FA5552"/>
    <w:rsid w:val="00FA63E0"/>
    <w:rsid w:val="00FA64C0"/>
    <w:rsid w:val="00FA671C"/>
    <w:rsid w:val="00FA73E0"/>
    <w:rsid w:val="00FA7E0A"/>
    <w:rsid w:val="00FA7FA6"/>
    <w:rsid w:val="00FB1115"/>
    <w:rsid w:val="00FB181A"/>
    <w:rsid w:val="00FB18C3"/>
    <w:rsid w:val="00FB25B5"/>
    <w:rsid w:val="00FB30D6"/>
    <w:rsid w:val="00FB3475"/>
    <w:rsid w:val="00FB5CA3"/>
    <w:rsid w:val="00FB7C7A"/>
    <w:rsid w:val="00FC2E20"/>
    <w:rsid w:val="00FC35E4"/>
    <w:rsid w:val="00FC3BE6"/>
    <w:rsid w:val="00FD21DA"/>
    <w:rsid w:val="00FD336B"/>
    <w:rsid w:val="00FD3C85"/>
    <w:rsid w:val="00FD41D5"/>
    <w:rsid w:val="00FD4E7F"/>
    <w:rsid w:val="00FD671F"/>
    <w:rsid w:val="00FE1B14"/>
    <w:rsid w:val="00FE214C"/>
    <w:rsid w:val="00FE3F9F"/>
    <w:rsid w:val="00FE497A"/>
    <w:rsid w:val="00FE50A9"/>
    <w:rsid w:val="00FF1372"/>
    <w:rsid w:val="00FF18DC"/>
    <w:rsid w:val="00FF2381"/>
    <w:rsid w:val="00FF53D7"/>
    <w:rsid w:val="00FF555B"/>
    <w:rsid w:val="59FDD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uiPriority w:val="1"/>
  </w:style>
  <w:style w:type="table" w:default="1" w:styleId="11">
    <w:name w:val="Normal Table"/>
    <w:unhideWhenUsed/>
    <w:uiPriority w:val="99"/>
    <w:tblPr>
      <w:tblCellMar>
        <w:top w:w="0" w:type="dxa"/>
        <w:left w:w="108" w:type="dxa"/>
        <w:bottom w:w="0" w:type="dxa"/>
        <w:right w:w="108" w:type="dxa"/>
      </w:tblCellMar>
    </w:tblPr>
  </w:style>
  <w:style w:type="paragraph" w:styleId="2">
    <w:name w:val="annotation subject"/>
    <w:basedOn w:val="3"/>
    <w:next w:val="3"/>
    <w:link w:val="48"/>
    <w:unhideWhenUsed/>
    <w:qFormat/>
    <w:uiPriority w:val="99"/>
    <w:rPr>
      <w:b/>
      <w:bCs/>
    </w:rPr>
  </w:style>
  <w:style w:type="paragraph" w:styleId="3">
    <w:name w:val="annotation text"/>
    <w:basedOn w:val="1"/>
    <w:link w:val="47"/>
    <w:unhideWhenUsed/>
    <w:qFormat/>
    <w:uiPriority w:val="99"/>
    <w:pPr>
      <w:jc w:val="left"/>
    </w:pPr>
  </w:style>
  <w:style w:type="paragraph" w:styleId="4">
    <w:name w:val="footer"/>
    <w:basedOn w:val="1"/>
    <w:link w:val="34"/>
    <w:unhideWhenUsed/>
    <w:uiPriority w:val="99"/>
    <w:pPr>
      <w:tabs>
        <w:tab w:val="center" w:pos="4153"/>
        <w:tab w:val="right" w:pos="8306"/>
      </w:tabs>
      <w:snapToGrid w:val="0"/>
      <w:jc w:val="left"/>
    </w:pPr>
    <w:rPr>
      <w:sz w:val="18"/>
      <w:szCs w:val="18"/>
    </w:rPr>
  </w:style>
  <w:style w:type="paragraph" w:styleId="5">
    <w:name w:val="header"/>
    <w:basedOn w:val="1"/>
    <w:link w:val="33"/>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pPr>
      <w:tabs>
        <w:tab w:val="right" w:leader="dot" w:pos="8296"/>
      </w:tabs>
      <w:adjustRightInd w:val="0"/>
      <w:snapToGrid w:val="0"/>
      <w:spacing w:line="600" w:lineRule="exact"/>
    </w:pPr>
    <w:rPr>
      <w:rFonts w:ascii="黑体" w:hAnsi="黑体" w:eastAsia="黑体"/>
      <w:sz w:val="32"/>
      <w:szCs w:val="32"/>
    </w:rPr>
  </w:style>
  <w:style w:type="paragraph" w:styleId="7">
    <w:name w:val="toc 2"/>
    <w:basedOn w:val="1"/>
    <w:next w:val="1"/>
    <w:unhideWhenUsed/>
    <w:uiPriority w:val="39"/>
    <w:pPr>
      <w:tabs>
        <w:tab w:val="right" w:leader="dot" w:pos="8296"/>
      </w:tabs>
      <w:ind w:left="420" w:leftChars="200"/>
    </w:pPr>
    <w:rPr>
      <w:rFonts w:ascii="楷体" w:hAnsi="楷体" w:eastAsia="楷体"/>
      <w:sz w:val="32"/>
      <w:szCs w:val="32"/>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styleId="10">
    <w:name w:val="annotation reference"/>
    <w:basedOn w:val="8"/>
    <w:unhideWhenUsed/>
    <w:qFormat/>
    <w:uiPriority w:val="99"/>
    <w:rPr>
      <w:sz w:val="21"/>
      <w:szCs w:val="21"/>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AN正文"/>
    <w:basedOn w:val="1"/>
    <w:link w:val="14"/>
    <w:qFormat/>
    <w:uiPriority w:val="0"/>
    <w:pPr>
      <w:adjustRightInd w:val="0"/>
      <w:snapToGrid w:val="0"/>
      <w:spacing w:line="440" w:lineRule="exact"/>
      <w:ind w:firstLine="200" w:firstLineChars="200"/>
    </w:pPr>
    <w:rPr>
      <w:rFonts w:ascii="Times New Roman" w:hAnsi="Times New Roman" w:eastAsia="宋体"/>
      <w:sz w:val="28"/>
      <w:szCs w:val="28"/>
    </w:rPr>
  </w:style>
  <w:style w:type="character" w:customStyle="1" w:styleId="14">
    <w:name w:val="AN正文 字符"/>
    <w:basedOn w:val="8"/>
    <w:link w:val="13"/>
    <w:uiPriority w:val="0"/>
    <w:rPr>
      <w:rFonts w:ascii="Times New Roman" w:hAnsi="Times New Roman" w:eastAsia="宋体"/>
      <w:sz w:val="28"/>
      <w:szCs w:val="28"/>
    </w:rPr>
  </w:style>
  <w:style w:type="paragraph" w:customStyle="1" w:styleId="15">
    <w:name w:val="AN一级标题"/>
    <w:basedOn w:val="13"/>
    <w:link w:val="16"/>
    <w:qFormat/>
    <w:uiPriority w:val="0"/>
    <w:pPr>
      <w:numPr>
        <w:ilvl w:val="0"/>
        <w:numId w:val="1"/>
      </w:numPr>
      <w:spacing w:line="520" w:lineRule="exact"/>
      <w:ind w:firstLineChars="0"/>
      <w:outlineLvl w:val="0"/>
    </w:pPr>
    <w:rPr>
      <w:rFonts w:ascii="黑体" w:hAnsi="黑体" w:eastAsia="黑体"/>
      <w:sz w:val="32"/>
      <w:szCs w:val="32"/>
    </w:rPr>
  </w:style>
  <w:style w:type="character" w:customStyle="1" w:styleId="16">
    <w:name w:val="AN一级标题 字符"/>
    <w:basedOn w:val="14"/>
    <w:link w:val="15"/>
    <w:qFormat/>
    <w:uiPriority w:val="0"/>
    <w:rPr>
      <w:rFonts w:ascii="黑体" w:hAnsi="黑体" w:eastAsia="黑体"/>
      <w:sz w:val="32"/>
      <w:szCs w:val="32"/>
    </w:rPr>
  </w:style>
  <w:style w:type="paragraph" w:customStyle="1" w:styleId="17">
    <w:name w:val="AN二级标题"/>
    <w:basedOn w:val="13"/>
    <w:link w:val="18"/>
    <w:qFormat/>
    <w:uiPriority w:val="0"/>
    <w:pPr>
      <w:numPr>
        <w:ilvl w:val="1"/>
        <w:numId w:val="1"/>
      </w:numPr>
      <w:spacing w:line="480" w:lineRule="exact"/>
      <w:ind w:firstLineChars="0"/>
      <w:outlineLvl w:val="1"/>
    </w:pPr>
    <w:rPr>
      <w:rFonts w:ascii="黑体" w:hAnsi="黑体" w:eastAsia="黑体"/>
      <w:sz w:val="30"/>
      <w:szCs w:val="30"/>
    </w:rPr>
  </w:style>
  <w:style w:type="character" w:customStyle="1" w:styleId="18">
    <w:name w:val="AN二级标题 字符"/>
    <w:basedOn w:val="14"/>
    <w:link w:val="17"/>
    <w:qFormat/>
    <w:uiPriority w:val="0"/>
    <w:rPr>
      <w:rFonts w:ascii="黑体" w:hAnsi="黑体" w:eastAsia="黑体"/>
      <w:sz w:val="30"/>
      <w:szCs w:val="30"/>
    </w:rPr>
  </w:style>
  <w:style w:type="paragraph" w:customStyle="1" w:styleId="19">
    <w:name w:val="AN三级标题"/>
    <w:basedOn w:val="13"/>
    <w:link w:val="20"/>
    <w:qFormat/>
    <w:uiPriority w:val="0"/>
    <w:pPr>
      <w:numPr>
        <w:ilvl w:val="2"/>
        <w:numId w:val="1"/>
      </w:numPr>
      <w:ind w:firstLineChars="0"/>
      <w:outlineLvl w:val="2"/>
    </w:pPr>
    <w:rPr>
      <w:b/>
      <w:bCs/>
    </w:rPr>
  </w:style>
  <w:style w:type="character" w:customStyle="1" w:styleId="20">
    <w:name w:val="AN三级标题 字符"/>
    <w:basedOn w:val="14"/>
    <w:link w:val="19"/>
    <w:qFormat/>
    <w:uiPriority w:val="0"/>
    <w:rPr>
      <w:rFonts w:ascii="Times New Roman" w:hAnsi="Times New Roman" w:eastAsia="宋体"/>
      <w:b/>
      <w:bCs/>
      <w:sz w:val="28"/>
      <w:szCs w:val="28"/>
    </w:rPr>
  </w:style>
  <w:style w:type="paragraph" w:customStyle="1" w:styleId="21">
    <w:name w:val="AN文章题目"/>
    <w:basedOn w:val="13"/>
    <w:link w:val="22"/>
    <w:qFormat/>
    <w:uiPriority w:val="0"/>
    <w:pPr>
      <w:spacing w:before="50" w:beforeLines="50" w:after="50" w:afterLines="50" w:line="520" w:lineRule="exact"/>
      <w:ind w:firstLine="0" w:firstLineChars="0"/>
      <w:jc w:val="center"/>
    </w:pPr>
    <w:rPr>
      <w:rFonts w:ascii="黑体" w:hAnsi="黑体" w:eastAsia="黑体"/>
      <w:sz w:val="44"/>
      <w:szCs w:val="44"/>
    </w:rPr>
  </w:style>
  <w:style w:type="character" w:customStyle="1" w:styleId="22">
    <w:name w:val="AN文章题目 字符"/>
    <w:basedOn w:val="14"/>
    <w:link w:val="21"/>
    <w:uiPriority w:val="0"/>
    <w:rPr>
      <w:rFonts w:ascii="黑体" w:hAnsi="黑体" w:eastAsia="黑体"/>
      <w:sz w:val="44"/>
      <w:szCs w:val="44"/>
    </w:rPr>
  </w:style>
  <w:style w:type="paragraph" w:customStyle="1" w:styleId="23">
    <w:name w:val="AN四级正文"/>
    <w:basedOn w:val="13"/>
    <w:link w:val="24"/>
    <w:qFormat/>
    <w:uiPriority w:val="0"/>
    <w:pPr>
      <w:numPr>
        <w:ilvl w:val="3"/>
        <w:numId w:val="2"/>
      </w:numPr>
      <w:ind w:firstLine="200"/>
    </w:pPr>
  </w:style>
  <w:style w:type="character" w:customStyle="1" w:styleId="24">
    <w:name w:val="AN四级正文 字符"/>
    <w:basedOn w:val="14"/>
    <w:link w:val="23"/>
    <w:uiPriority w:val="0"/>
    <w:rPr>
      <w:rFonts w:ascii="Times New Roman" w:hAnsi="Times New Roman" w:eastAsia="宋体"/>
      <w:sz w:val="28"/>
      <w:szCs w:val="28"/>
    </w:rPr>
  </w:style>
  <w:style w:type="paragraph" w:customStyle="1" w:styleId="25">
    <w:name w:val="AN五级正文"/>
    <w:basedOn w:val="13"/>
    <w:link w:val="26"/>
    <w:qFormat/>
    <w:uiPriority w:val="0"/>
    <w:pPr>
      <w:numPr>
        <w:ilvl w:val="4"/>
        <w:numId w:val="1"/>
      </w:numPr>
      <w:ind w:firstLine="200"/>
    </w:pPr>
  </w:style>
  <w:style w:type="character" w:customStyle="1" w:styleId="26">
    <w:name w:val="AN五级正文 字符"/>
    <w:basedOn w:val="14"/>
    <w:link w:val="25"/>
    <w:uiPriority w:val="0"/>
    <w:rPr>
      <w:rFonts w:ascii="Times New Roman" w:hAnsi="Times New Roman" w:eastAsia="宋体"/>
      <w:sz w:val="28"/>
      <w:szCs w:val="28"/>
    </w:rPr>
  </w:style>
  <w:style w:type="paragraph" w:customStyle="1" w:styleId="27">
    <w:name w:val="AN附件二级标题"/>
    <w:basedOn w:val="13"/>
    <w:link w:val="28"/>
    <w:qFormat/>
    <w:uiPriority w:val="0"/>
    <w:pPr>
      <w:numPr>
        <w:ilvl w:val="1"/>
        <w:numId w:val="3"/>
      </w:numPr>
      <w:spacing w:line="480" w:lineRule="exact"/>
      <w:ind w:firstLineChars="0"/>
      <w:outlineLvl w:val="1"/>
    </w:pPr>
    <w:rPr>
      <w:rFonts w:ascii="黑体" w:hAnsi="黑体" w:eastAsia="黑体"/>
      <w:sz w:val="30"/>
      <w:szCs w:val="32"/>
    </w:rPr>
  </w:style>
  <w:style w:type="character" w:customStyle="1" w:styleId="28">
    <w:name w:val="AN附件二级标题 字符"/>
    <w:basedOn w:val="14"/>
    <w:link w:val="27"/>
    <w:qFormat/>
    <w:uiPriority w:val="0"/>
    <w:rPr>
      <w:rFonts w:ascii="黑体" w:hAnsi="黑体" w:eastAsia="黑体"/>
      <w:sz w:val="30"/>
      <w:szCs w:val="32"/>
    </w:rPr>
  </w:style>
  <w:style w:type="paragraph" w:customStyle="1" w:styleId="29">
    <w:name w:val="AN居中标题"/>
    <w:basedOn w:val="13"/>
    <w:link w:val="30"/>
    <w:qFormat/>
    <w:uiPriority w:val="0"/>
    <w:pPr>
      <w:spacing w:line="520" w:lineRule="exact"/>
      <w:ind w:firstLine="0" w:firstLineChars="0"/>
      <w:jc w:val="center"/>
    </w:pPr>
    <w:rPr>
      <w:rFonts w:ascii="黑体" w:hAnsi="黑体" w:eastAsia="黑体"/>
      <w:sz w:val="32"/>
      <w:szCs w:val="32"/>
    </w:rPr>
  </w:style>
  <w:style w:type="character" w:customStyle="1" w:styleId="30">
    <w:name w:val="AN居中标题 字符"/>
    <w:basedOn w:val="14"/>
    <w:link w:val="29"/>
    <w:qFormat/>
    <w:uiPriority w:val="0"/>
    <w:rPr>
      <w:rFonts w:ascii="黑体" w:hAnsi="黑体" w:eastAsia="黑体"/>
      <w:sz w:val="32"/>
      <w:szCs w:val="32"/>
    </w:rPr>
  </w:style>
  <w:style w:type="paragraph" w:customStyle="1" w:styleId="31">
    <w:name w:val="AN附件一级标题"/>
    <w:basedOn w:val="13"/>
    <w:link w:val="32"/>
    <w:qFormat/>
    <w:uiPriority w:val="0"/>
    <w:pPr>
      <w:numPr>
        <w:ilvl w:val="0"/>
        <w:numId w:val="3"/>
      </w:numPr>
      <w:spacing w:line="520" w:lineRule="exact"/>
      <w:ind w:firstLineChars="0"/>
      <w:outlineLvl w:val="0"/>
    </w:pPr>
    <w:rPr>
      <w:rFonts w:ascii="黑体" w:hAnsi="黑体" w:eastAsia="黑体"/>
      <w:sz w:val="32"/>
      <w:szCs w:val="32"/>
    </w:rPr>
  </w:style>
  <w:style w:type="character" w:customStyle="1" w:styleId="32">
    <w:name w:val="AN附件一级标题 字符"/>
    <w:basedOn w:val="14"/>
    <w:link w:val="31"/>
    <w:qFormat/>
    <w:uiPriority w:val="0"/>
    <w:rPr>
      <w:rFonts w:ascii="黑体" w:hAnsi="黑体" w:eastAsia="黑体"/>
      <w:sz w:val="32"/>
      <w:szCs w:val="32"/>
    </w:rPr>
  </w:style>
  <w:style w:type="character" w:customStyle="1" w:styleId="33">
    <w:name w:val="页眉 字符"/>
    <w:basedOn w:val="8"/>
    <w:link w:val="5"/>
    <w:qFormat/>
    <w:uiPriority w:val="99"/>
    <w:rPr>
      <w:sz w:val="18"/>
      <w:szCs w:val="18"/>
    </w:rPr>
  </w:style>
  <w:style w:type="character" w:customStyle="1" w:styleId="34">
    <w:name w:val="页脚 字符"/>
    <w:basedOn w:val="8"/>
    <w:link w:val="4"/>
    <w:qFormat/>
    <w:uiPriority w:val="99"/>
    <w:rPr>
      <w:sz w:val="18"/>
      <w:szCs w:val="18"/>
    </w:rPr>
  </w:style>
  <w:style w:type="paragraph" w:customStyle="1" w:styleId="35">
    <w:name w:val="【预案】正文"/>
    <w:basedOn w:val="1"/>
    <w:link w:val="37"/>
    <w:qFormat/>
    <w:uiPriority w:val="0"/>
    <w:pPr>
      <w:adjustRightInd w:val="0"/>
      <w:snapToGrid w:val="0"/>
      <w:spacing w:line="600" w:lineRule="exact"/>
      <w:ind w:firstLine="200" w:firstLineChars="200"/>
    </w:pPr>
    <w:rPr>
      <w:rFonts w:ascii="仿宋" w:hAnsi="仿宋" w:eastAsia="仿宋"/>
      <w:sz w:val="32"/>
      <w:szCs w:val="32"/>
    </w:rPr>
  </w:style>
  <w:style w:type="paragraph" w:customStyle="1" w:styleId="36">
    <w:name w:val="【预案】一级标题"/>
    <w:basedOn w:val="1"/>
    <w:link w:val="39"/>
    <w:qFormat/>
    <w:uiPriority w:val="0"/>
    <w:pPr>
      <w:numPr>
        <w:ilvl w:val="0"/>
        <w:numId w:val="4"/>
      </w:numPr>
      <w:adjustRightInd w:val="0"/>
      <w:snapToGrid w:val="0"/>
      <w:spacing w:line="600" w:lineRule="exact"/>
      <w:ind w:firstLine="200" w:firstLineChars="200"/>
      <w:outlineLvl w:val="0"/>
    </w:pPr>
    <w:rPr>
      <w:rFonts w:ascii="黑体" w:hAnsi="黑体" w:eastAsia="黑体"/>
      <w:sz w:val="32"/>
      <w:szCs w:val="32"/>
    </w:rPr>
  </w:style>
  <w:style w:type="character" w:customStyle="1" w:styleId="37">
    <w:name w:val="【预案】正文 字符"/>
    <w:basedOn w:val="8"/>
    <w:link w:val="35"/>
    <w:qFormat/>
    <w:uiPriority w:val="0"/>
    <w:rPr>
      <w:rFonts w:ascii="仿宋" w:hAnsi="仿宋" w:eastAsia="仿宋"/>
      <w:sz w:val="32"/>
      <w:szCs w:val="32"/>
    </w:rPr>
  </w:style>
  <w:style w:type="paragraph" w:customStyle="1" w:styleId="38">
    <w:name w:val="【预案】二级标题"/>
    <w:basedOn w:val="1"/>
    <w:link w:val="40"/>
    <w:qFormat/>
    <w:uiPriority w:val="0"/>
    <w:pPr>
      <w:numPr>
        <w:ilvl w:val="1"/>
        <w:numId w:val="4"/>
      </w:numPr>
      <w:adjustRightInd w:val="0"/>
      <w:snapToGrid w:val="0"/>
      <w:spacing w:line="600" w:lineRule="exact"/>
      <w:outlineLvl w:val="1"/>
    </w:pPr>
    <w:rPr>
      <w:rFonts w:ascii="楷体" w:hAnsi="楷体" w:eastAsia="楷体"/>
      <w:sz w:val="32"/>
      <w:szCs w:val="32"/>
    </w:rPr>
  </w:style>
  <w:style w:type="character" w:customStyle="1" w:styleId="39">
    <w:name w:val="【预案】一级标题 字符"/>
    <w:basedOn w:val="8"/>
    <w:link w:val="36"/>
    <w:uiPriority w:val="0"/>
    <w:rPr>
      <w:rFonts w:ascii="黑体" w:hAnsi="黑体" w:eastAsia="黑体"/>
      <w:sz w:val="32"/>
      <w:szCs w:val="32"/>
    </w:rPr>
  </w:style>
  <w:style w:type="character" w:customStyle="1" w:styleId="40">
    <w:name w:val="【预案】二级标题 字符"/>
    <w:basedOn w:val="8"/>
    <w:link w:val="38"/>
    <w:qFormat/>
    <w:uiPriority w:val="0"/>
    <w:rPr>
      <w:rFonts w:ascii="楷体" w:hAnsi="楷体" w:eastAsia="楷体"/>
      <w:sz w:val="32"/>
      <w:szCs w:val="32"/>
    </w:rPr>
  </w:style>
  <w:style w:type="paragraph" w:customStyle="1" w:styleId="41">
    <w:name w:val="【预案】三级正文"/>
    <w:basedOn w:val="35"/>
    <w:link w:val="42"/>
    <w:qFormat/>
    <w:uiPriority w:val="0"/>
    <w:pPr>
      <w:numPr>
        <w:ilvl w:val="2"/>
        <w:numId w:val="4"/>
      </w:numPr>
      <w:ind w:firstLine="200"/>
    </w:pPr>
  </w:style>
  <w:style w:type="character" w:customStyle="1" w:styleId="42">
    <w:name w:val="【预案】三级正文 字符"/>
    <w:basedOn w:val="37"/>
    <w:link w:val="41"/>
    <w:qFormat/>
    <w:uiPriority w:val="0"/>
    <w:rPr>
      <w:rFonts w:ascii="仿宋" w:hAnsi="仿宋" w:eastAsia="仿宋"/>
      <w:sz w:val="32"/>
      <w:szCs w:val="32"/>
    </w:rPr>
  </w:style>
  <w:style w:type="paragraph" w:customStyle="1" w:styleId="43">
    <w:name w:val="【预案】题目"/>
    <w:basedOn w:val="1"/>
    <w:link w:val="45"/>
    <w:qFormat/>
    <w:uiPriority w:val="0"/>
    <w:pPr>
      <w:adjustRightInd w:val="0"/>
      <w:snapToGrid w:val="0"/>
      <w:spacing w:before="156" w:beforeLines="50" w:after="156" w:afterLines="50" w:line="600" w:lineRule="exact"/>
      <w:jc w:val="center"/>
    </w:pPr>
    <w:rPr>
      <w:rFonts w:ascii="黑体" w:hAnsi="黑体" w:eastAsia="宋体"/>
      <w:b/>
      <w:sz w:val="44"/>
      <w:szCs w:val="44"/>
    </w:rPr>
  </w:style>
  <w:style w:type="paragraph" w:customStyle="1" w:styleId="44">
    <w:name w:val="【预案】四级正文"/>
    <w:basedOn w:val="35"/>
    <w:link w:val="46"/>
    <w:qFormat/>
    <w:uiPriority w:val="0"/>
    <w:pPr>
      <w:numPr>
        <w:ilvl w:val="3"/>
        <w:numId w:val="4"/>
      </w:numPr>
      <w:ind w:firstLine="200"/>
    </w:pPr>
  </w:style>
  <w:style w:type="character" w:customStyle="1" w:styleId="45">
    <w:name w:val="【预案】题目 字符"/>
    <w:basedOn w:val="8"/>
    <w:link w:val="43"/>
    <w:qFormat/>
    <w:uiPriority w:val="0"/>
    <w:rPr>
      <w:rFonts w:ascii="黑体" w:hAnsi="黑体" w:eastAsia="宋体"/>
      <w:b/>
      <w:sz w:val="44"/>
      <w:szCs w:val="44"/>
    </w:rPr>
  </w:style>
  <w:style w:type="character" w:customStyle="1" w:styleId="46">
    <w:name w:val="【预案】四级正文 字符"/>
    <w:basedOn w:val="37"/>
    <w:link w:val="44"/>
    <w:qFormat/>
    <w:uiPriority w:val="0"/>
    <w:rPr>
      <w:rFonts w:ascii="仿宋" w:hAnsi="仿宋" w:eastAsia="仿宋"/>
      <w:sz w:val="32"/>
      <w:szCs w:val="32"/>
    </w:rPr>
  </w:style>
  <w:style w:type="character" w:customStyle="1" w:styleId="47">
    <w:name w:val="批注文字 字符"/>
    <w:basedOn w:val="8"/>
    <w:link w:val="3"/>
    <w:semiHidden/>
    <w:uiPriority w:val="99"/>
  </w:style>
  <w:style w:type="character" w:customStyle="1" w:styleId="48">
    <w:name w:val="批注主题 字符"/>
    <w:basedOn w:val="47"/>
    <w:link w:val="2"/>
    <w:semiHidden/>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2587</Words>
  <Characters>14751</Characters>
  <Lines>122</Lines>
  <Paragraphs>34</Paragraphs>
  <TotalTime>0</TotalTime>
  <ScaleCrop>false</ScaleCrop>
  <LinksUpToDate>false</LinksUpToDate>
  <CharactersWithSpaces>17304</CharactersWithSpaces>
  <Application>WPS Office_4.0.0.6524_F1E327BC-269C-435d-A152-05C5408002CA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2021-09-13T11:27:00Z</dcterms:created>
  <dc:creator>An Alan</dc:creator>
  <cp:lastModifiedBy>lubin</cp:lastModifiedBy>
  <cp:lastPrinted>2021-12-09T18:26:00Z</cp:lastPrinted>
  <dcterms:modified xsi:type="dcterms:W3CDTF">2022-02-28T11:50:44Z</dcterms:modified>
  <cp:revision>1070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2052-4.0.0.6524</vt:lpwstr>
  </property>
</Properties>
</file>