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center"/>
        <w:rPr>
          <w:rStyle w:val="15"/>
          <w:rFonts w:ascii="Arial" w:hAnsi="Arial" w:eastAsia="宋体" w:cs="Arial"/>
          <w:caps w:val="0"/>
          <w:color w:val="2D0201"/>
          <w:spacing w:val="0"/>
          <w:sz w:val="24"/>
          <w:szCs w:val="24"/>
          <w:bdr w:val="none" w:color="auto" w:sz="0" w:space="0"/>
          <w:shd w:val="clear" w:fill="FFFFFF"/>
        </w:rPr>
      </w:pPr>
      <w:r>
        <w:rPr>
          <w:rStyle w:val="15"/>
          <w:rFonts w:hint="eastAsia" w:ascii="Arial" w:hAnsi="Arial" w:eastAsia="宋体" w:cs="Arial"/>
          <w:caps w:val="0"/>
          <w:color w:val="2D0201"/>
          <w:spacing w:val="0"/>
          <w:sz w:val="24"/>
          <w:szCs w:val="24"/>
          <w:bdr w:val="none" w:color="auto" w:sz="0" w:space="0"/>
          <w:shd w:val="clear" w:fill="FFFFFF"/>
        </w:rPr>
        <w:t>中级注册安全工程师职业资格考试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center"/>
        <w:rPr>
          <w:rFonts w:hint="eastAsia" w:ascii="宋体" w:hAnsi="宋体" w:eastAsia="宋体" w:cs="宋体"/>
          <w:caps w:val="0"/>
          <w:color w:val="2D0201"/>
          <w:spacing w:val="0"/>
          <w:sz w:val="21"/>
          <w:szCs w:val="21"/>
        </w:rPr>
      </w:pPr>
      <w:r>
        <w:rPr>
          <w:rStyle w:val="15"/>
          <w:rFonts w:ascii="Arial" w:hAnsi="Arial" w:eastAsia="宋体" w:cs="Arial"/>
          <w:caps w:val="0"/>
          <w:color w:val="2D0201"/>
          <w:spacing w:val="0"/>
          <w:sz w:val="24"/>
          <w:szCs w:val="24"/>
          <w:bdr w:val="none" w:color="auto" w:sz="0" w:space="0"/>
          <w:shd w:val="clear" w:fill="FFFFFF"/>
        </w:rPr>
        <w:t>报名条件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凡遵守中华人民共和国宪法、法律、法规，具有良好的业务素质和道德品行，具备下列条件之一者，可以申请参加中级注册安全工程师职业资格考试：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（一）具有安全工程及相关专业大学专科学历，从事安全生产业务满5年；或具有其他专业大学专科学历，从事安全生产业务满7年。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（二）具有安全工程及相关专业大学本科学历，从事安全生产业务满3年；或具有其他专业大学本科学历，从事安全生产业务满5年。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（三）具有安全工程及相关专业第二学士学位，从事安全生产业务满2年；或具有其他专业第二学士学位，从事安全生产业务满3年。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（四）具有安全工程及相关专业硕士学位，从事安全生产业务满1年；或具有其他专业硕士学位，从事安全生产业务满2年。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（五）具有博士学位，从事安全生产业务满1年。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（六）取得初级注册安全工程师职业资格后，从事安全生产业务满3年。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center"/>
        <w:rPr>
          <w:rFonts w:hint="eastAsia" w:ascii="宋体" w:hAnsi="宋体" w:eastAsia="宋体" w:cs="宋体"/>
          <w:caps w:val="0"/>
          <w:color w:val="2D0201"/>
          <w:spacing w:val="0"/>
          <w:sz w:val="21"/>
          <w:szCs w:val="21"/>
        </w:rPr>
      </w:pPr>
      <w:r>
        <w:rPr>
          <w:rStyle w:val="15"/>
          <w:rFonts w:hint="default" w:ascii="Arial" w:hAnsi="Arial" w:eastAsia="宋体" w:cs="Arial"/>
          <w:caps w:val="0"/>
          <w:color w:val="2D0201"/>
          <w:spacing w:val="0"/>
          <w:sz w:val="24"/>
          <w:szCs w:val="24"/>
          <w:bdr w:val="none" w:color="auto" w:sz="0" w:space="0"/>
          <w:shd w:val="clear" w:fill="FFFFFF"/>
        </w:rPr>
        <w:t>免试部分科目条件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符合《注册安全工程师职业资格制度规定》中的中级注册安全工程师职业资格考试报名条件，具有高级或正高级工程师职称，并从事安全生产业务满10年的人员，可免试“安全生产管理”和“安全生产技术基础”2个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符合《注册安全工程师职业资格制度规定》中的中级注册安全工程师职业资格考试报名条件，本科毕业时所学安全工程专业经全国工程教育专业认证的人员，可免试“安全生产技术基础”科目。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已取得中级注册安全工程师职业资格证书的人员，报名参加其他专业类别考试的，可免试公共科目。考试合格后，核发人力资源社会保障部统一印制的相应专业类别考试合格证明。该证明作为注册时变更专业类别等事项的依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center"/>
        <w:rPr>
          <w:rFonts w:hint="eastAsia" w:ascii="宋体" w:hAnsi="宋体" w:eastAsia="宋体" w:cs="宋体"/>
          <w:caps w:val="0"/>
          <w:color w:val="2D0201"/>
          <w:spacing w:val="0"/>
          <w:sz w:val="21"/>
          <w:szCs w:val="21"/>
        </w:rPr>
      </w:pPr>
      <w:r>
        <w:rPr>
          <w:rStyle w:val="15"/>
          <w:rFonts w:hint="default" w:ascii="Arial" w:hAnsi="Arial" w:eastAsia="宋体" w:cs="Arial"/>
          <w:caps w:val="0"/>
          <w:color w:val="2D0201"/>
          <w:spacing w:val="0"/>
          <w:sz w:val="24"/>
          <w:szCs w:val="24"/>
          <w:bdr w:val="none" w:color="auto" w:sz="0" w:space="0"/>
          <w:shd w:val="clear" w:fill="FFFFFF"/>
        </w:rPr>
        <w:t>报名条件说明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ascii="仿宋_GB2312" w:hAnsi="宋体" w:eastAsia="仿宋_GB2312" w:cs="仿宋_GB2312"/>
          <w:caps w:val="0"/>
          <w:color w:val="2D0201"/>
          <w:spacing w:val="0"/>
          <w:sz w:val="24"/>
          <w:szCs w:val="24"/>
          <w:bdr w:val="none" w:color="auto" w:sz="0" w:space="0"/>
          <w:shd w:val="clear" w:fill="FFFFFF"/>
        </w:rPr>
        <w:t>2018年度取得部分考试科目合格成绩的人员，2019年再次报考时可根据所在单位行业类别，参考《注册安全工程师职业资格制度规定》中“各专业类别注册安全工程师执业行业界定表”，由考生选择报考专业类别。</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leftChars="0" w:right="0" w:firstLine="0" w:firstLineChars="0"/>
        <w:jc w:val="both"/>
        <w:rPr>
          <w:rFonts w:hint="eastAsia" w:ascii="宋体" w:hAnsi="宋体" w:eastAsia="宋体" w:cs="宋体"/>
          <w:caps w:val="0"/>
          <w:color w:val="2D0201"/>
          <w:spacing w:val="0"/>
          <w:sz w:val="21"/>
          <w:szCs w:val="21"/>
        </w:rPr>
      </w:pPr>
      <w:r>
        <w:rPr>
          <w:rStyle w:val="15"/>
          <w:rFonts w:hint="eastAsia" w:ascii="宋体" w:hAnsi="宋体" w:eastAsia="宋体" w:cs="宋体"/>
          <w:caps w:val="0"/>
          <w:color w:val="2D0201"/>
          <w:spacing w:val="0"/>
          <w:sz w:val="24"/>
          <w:szCs w:val="24"/>
          <w:bdr w:val="none" w:color="auto" w:sz="0" w:space="0"/>
          <w:shd w:val="clear" w:fill="FFFFFF"/>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center"/>
        <w:rPr>
          <w:rFonts w:hint="eastAsia" w:ascii="宋体" w:hAnsi="宋体" w:eastAsia="宋体" w:cs="宋体"/>
          <w:caps w:val="0"/>
          <w:color w:val="2D0201"/>
          <w:spacing w:val="0"/>
          <w:sz w:val="21"/>
          <w:szCs w:val="21"/>
        </w:rPr>
      </w:pPr>
      <w:r>
        <w:rPr>
          <w:rStyle w:val="15"/>
          <w:rFonts w:hint="default" w:ascii="Arial" w:hAnsi="Arial" w:eastAsia="宋体" w:cs="Arial"/>
          <w:caps w:val="0"/>
          <w:color w:val="2D0201"/>
          <w:spacing w:val="0"/>
          <w:sz w:val="24"/>
          <w:szCs w:val="24"/>
          <w:bdr w:val="none" w:color="auto" w:sz="0" w:space="0"/>
          <w:shd w:val="clear" w:fill="FFFFFF"/>
        </w:rPr>
        <w:t>各专业类别注册安全工程师执业行业界定表</w:t>
      </w:r>
    </w:p>
    <w:tbl>
      <w:tblPr>
        <w:tblW w:w="8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56"/>
        <w:gridCol w:w="2472"/>
        <w:gridCol w:w="5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678" w:hRule="atLeast"/>
        </w:trPr>
        <w:tc>
          <w:tcPr>
            <w:tcW w:w="656" w:type="dxa"/>
            <w:tcBorders>
              <w:top w:val="single" w:color="190B16" w:sz="6" w:space="0"/>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leftChars="0" w:right="0" w:firstLine="0" w:firstLineChars="0"/>
              <w:jc w:val="left"/>
              <w:rPr>
                <w:rFonts w:hint="eastAsia" w:ascii="宋体" w:hAnsi="宋体" w:eastAsia="宋体" w:cs="宋体"/>
                <w:sz w:val="21"/>
                <w:szCs w:val="21"/>
              </w:rPr>
            </w:pPr>
            <w:r>
              <w:rPr>
                <w:rFonts w:hint="default" w:ascii="Arial" w:hAnsi="Arial" w:eastAsia="宋体" w:cs="Arial"/>
                <w:i w:val="0"/>
                <w:iCs w:val="0"/>
                <w:caps w:val="0"/>
                <w:color w:val="190B16"/>
                <w:spacing w:val="0"/>
                <w:sz w:val="24"/>
                <w:szCs w:val="24"/>
                <w:bdr w:val="none" w:color="auto" w:sz="0" w:space="0"/>
              </w:rPr>
              <w:t>序号</w:t>
            </w:r>
          </w:p>
        </w:tc>
        <w:tc>
          <w:tcPr>
            <w:tcW w:w="2472" w:type="dxa"/>
            <w:tcBorders>
              <w:top w:val="single" w:color="190B16" w:sz="6" w:space="0"/>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default" w:ascii="Arial" w:hAnsi="Arial" w:eastAsia="宋体" w:cs="Arial"/>
                <w:i w:val="0"/>
                <w:iCs w:val="0"/>
                <w:caps w:val="0"/>
                <w:color w:val="190B16"/>
                <w:spacing w:val="0"/>
                <w:sz w:val="24"/>
                <w:szCs w:val="24"/>
                <w:bdr w:val="none" w:color="auto" w:sz="0" w:space="0"/>
              </w:rPr>
              <w:t>专业类别</w:t>
            </w:r>
          </w:p>
        </w:tc>
        <w:tc>
          <w:tcPr>
            <w:tcW w:w="5070" w:type="dxa"/>
            <w:tcBorders>
              <w:top w:val="single" w:color="190B16" w:sz="6" w:space="0"/>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default" w:ascii="Arial" w:hAnsi="Arial" w:eastAsia="宋体" w:cs="Arial"/>
                <w:i w:val="0"/>
                <w:iCs w:val="0"/>
                <w:caps w:val="0"/>
                <w:color w:val="190B16"/>
                <w:spacing w:val="0"/>
                <w:sz w:val="24"/>
                <w:szCs w:val="24"/>
                <w:bdr w:val="none" w:color="auto" w:sz="0" w:space="0"/>
              </w:rPr>
              <w:t>执业行业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8" w:hRule="atLeast"/>
        </w:trPr>
        <w:tc>
          <w:tcPr>
            <w:tcW w:w="656"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1</w:t>
            </w:r>
          </w:p>
        </w:tc>
        <w:tc>
          <w:tcPr>
            <w:tcW w:w="2472"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煤矿安全</w:t>
            </w:r>
          </w:p>
        </w:tc>
        <w:tc>
          <w:tcPr>
            <w:tcW w:w="5070"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煤炭行业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8" w:hRule="atLeast"/>
        </w:trPr>
        <w:tc>
          <w:tcPr>
            <w:tcW w:w="656"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2</w:t>
            </w:r>
          </w:p>
        </w:tc>
        <w:tc>
          <w:tcPr>
            <w:tcW w:w="2472"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金属非金属矿山安全</w:t>
            </w:r>
          </w:p>
        </w:tc>
        <w:tc>
          <w:tcPr>
            <w:tcW w:w="5070"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金属非金属矿山行业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656"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3</w:t>
            </w:r>
          </w:p>
        </w:tc>
        <w:tc>
          <w:tcPr>
            <w:tcW w:w="2472"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化工安全</w:t>
            </w:r>
          </w:p>
        </w:tc>
        <w:tc>
          <w:tcPr>
            <w:tcW w:w="5070"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化工、医药等行业（包括危险化学品生产、储存，石油天然气储存）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656"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4</w:t>
            </w:r>
          </w:p>
        </w:tc>
        <w:tc>
          <w:tcPr>
            <w:tcW w:w="2472"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金属冶炼安全</w:t>
            </w:r>
          </w:p>
        </w:tc>
        <w:tc>
          <w:tcPr>
            <w:tcW w:w="5070"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冶金、有色冶炼行业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8" w:hRule="atLeast"/>
        </w:trPr>
        <w:tc>
          <w:tcPr>
            <w:tcW w:w="656"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5</w:t>
            </w:r>
          </w:p>
        </w:tc>
        <w:tc>
          <w:tcPr>
            <w:tcW w:w="2472"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建筑施工安全</w:t>
            </w:r>
          </w:p>
        </w:tc>
        <w:tc>
          <w:tcPr>
            <w:tcW w:w="5070"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建设工程各行业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656"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6</w:t>
            </w:r>
          </w:p>
        </w:tc>
        <w:tc>
          <w:tcPr>
            <w:tcW w:w="2472"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道路运输安全</w:t>
            </w:r>
          </w:p>
        </w:tc>
        <w:tc>
          <w:tcPr>
            <w:tcW w:w="5070"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道路旅客运输、道路危险货物运输、道路普通货物运输、机动车维修和机动车驾驶培训行业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9" w:hRule="atLeast"/>
        </w:trPr>
        <w:tc>
          <w:tcPr>
            <w:tcW w:w="656"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7</w:t>
            </w:r>
          </w:p>
        </w:tc>
        <w:tc>
          <w:tcPr>
            <w:tcW w:w="2472"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其他安全（不包括消防安全）</w:t>
            </w:r>
          </w:p>
        </w:tc>
        <w:tc>
          <w:tcPr>
            <w:tcW w:w="5070"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0"/>
                <w:szCs w:val="20"/>
              </w:rPr>
            </w:pPr>
            <w:r>
              <w:rPr>
                <w:rFonts w:hint="default" w:ascii="Arial" w:hAnsi="Arial" w:eastAsia="宋体" w:cs="Arial"/>
                <w:i w:val="0"/>
                <w:iCs w:val="0"/>
                <w:caps w:val="0"/>
                <w:color w:val="190B16"/>
                <w:spacing w:val="0"/>
                <w:sz w:val="22"/>
                <w:szCs w:val="22"/>
                <w:bdr w:val="none" w:color="auto" w:sz="0" w:space="0"/>
              </w:rPr>
              <w:t>除上述行业以外的烟花爆竹、民用爆炸物品、石油天然气开采、燃气、电力等其他行业</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原制度文件规定有效期内的各科目合格成绩有效期顺延，按照新制度规定的4年为一个周期进行管理。“安全生产法及相关法律知识”“安全生产管理知识”“安全生产技术”“安全生产事故案例分析”科目合格成绩分别对应“安全生产法律法规”“安全生产管理”“安全生产技术基础”“安全生产专业实务”科目合格成绩。</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按原制度文件报考条件报考2018年度注册安全工程师执业资格考试全部四个科目（考全科）且取得部分考试科目合格成绩的人员（含中专学历人员），继续报考中级注册安全工程师职业资格考试全部四个科目（考全科）时，其2018年度及之后年度取得的各科目合格成绩有效期均按新制度规定的4年为一个周期进行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已经取得注册安全工程师执业资格证书或中级注册安全工程师职业资格证书的人员（含中专学历人员），可以报名参加其他专业类别考试（增报专业）。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caps w:val="0"/>
          <w:color w:val="2D0201"/>
          <w:spacing w:val="0"/>
          <w:sz w:val="21"/>
          <w:szCs w:val="21"/>
        </w:rPr>
      </w:pPr>
      <w:r>
        <w:rPr>
          <w:rFonts w:hint="default" w:ascii="Arial" w:hAnsi="Arial" w:eastAsia="宋体" w:cs="Arial"/>
          <w:caps w:val="0"/>
          <w:color w:val="2D0201"/>
          <w:spacing w:val="0"/>
          <w:sz w:val="24"/>
          <w:szCs w:val="24"/>
          <w:bdr w:val="none" w:color="auto" w:sz="0" w:space="0"/>
          <w:shd w:val="clear" w:fill="FFFFFF"/>
        </w:rPr>
        <w:t>报名条件中“安全工程及相关专业”，按照《应急管理部办公厅 关于印发〈注册安全工程师职业资格考试安全工程及相关专业参考目录〉的</w:t>
      </w:r>
      <w:bookmarkStart w:id="0" w:name="_GoBack"/>
      <w:bookmarkEnd w:id="0"/>
      <w:r>
        <w:rPr>
          <w:rFonts w:hint="default" w:ascii="Arial" w:hAnsi="Arial" w:eastAsia="宋体" w:cs="Arial"/>
          <w:caps w:val="0"/>
          <w:color w:val="2D0201"/>
          <w:spacing w:val="0"/>
          <w:sz w:val="24"/>
          <w:szCs w:val="24"/>
          <w:bdr w:val="none" w:color="auto" w:sz="0" w:space="0"/>
          <w:shd w:val="clear" w:fill="FFFFFF"/>
        </w:rPr>
        <w:t>通知》（应急厅函〔2019〕410号）执行（附：“注册安全工程师职业资格考试安全工程及相关专业参考目录”）。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line="468" w:lineRule="atLeast"/>
        <w:ind w:left="0" w:leftChars="0" w:right="0" w:firstLine="0" w:firstLineChars="0"/>
        <w:jc w:val="both"/>
        <w:rPr>
          <w:rFonts w:hint="default" w:ascii="Arial" w:hAnsi="Arial" w:eastAsia="宋体" w:cs="Arial"/>
          <w:b w:val="0"/>
          <w:bCs w:val="0"/>
          <w:caps w:val="0"/>
          <w:color w:val="2D0201"/>
          <w:spacing w:val="0"/>
          <w:kern w:val="0"/>
          <w:sz w:val="24"/>
          <w:szCs w:val="24"/>
          <w:shd w:val="clear" w:fill="FFFFFF"/>
          <w:lang w:val="en-US" w:eastAsia="zh-CN" w:bidi="ar"/>
        </w:rPr>
      </w:pPr>
      <w:r>
        <w:rPr>
          <w:rFonts w:hint="eastAsia" w:ascii="Arial" w:hAnsi="Arial" w:cs="Arial"/>
          <w:b w:val="0"/>
          <w:bCs w:val="0"/>
          <w:caps w:val="0"/>
          <w:color w:val="2D0201"/>
          <w:spacing w:val="0"/>
          <w:kern w:val="0"/>
          <w:sz w:val="24"/>
          <w:szCs w:val="24"/>
          <w:shd w:val="clear" w:fill="FFFFFF"/>
          <w:lang w:val="en-US" w:eastAsia="zh-CN" w:bidi="ar"/>
        </w:rPr>
        <w:t>附：</w:t>
      </w:r>
      <w:r>
        <w:rPr>
          <w:rFonts w:hint="eastAsia" w:ascii="Arial" w:hAnsi="Arial" w:eastAsia="宋体" w:cs="Arial"/>
          <w:b w:val="0"/>
          <w:bCs w:val="0"/>
          <w:caps w:val="0"/>
          <w:color w:val="2D0201"/>
          <w:spacing w:val="0"/>
          <w:kern w:val="0"/>
          <w:sz w:val="24"/>
          <w:szCs w:val="24"/>
          <w:shd w:val="clear" w:fill="FFFFFF"/>
          <w:lang w:val="en-US" w:eastAsia="zh-CN" w:bidi="ar"/>
        </w:rPr>
        <w:t>注册安全工程师职业资格考试安全工程及相关专业参考目录</w:t>
      </w:r>
    </w:p>
    <w:tbl>
      <w:tblPr>
        <w:tblW w:w="8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88"/>
        <w:gridCol w:w="1567"/>
        <w:gridCol w:w="6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8" w:hRule="atLeast"/>
          <w:jc w:val="center"/>
        </w:trPr>
        <w:tc>
          <w:tcPr>
            <w:tcW w:w="588" w:type="dxa"/>
            <w:tcBorders>
              <w:top w:val="single" w:color="190B16" w:sz="6" w:space="0"/>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leftChars="0" w:right="0" w:firstLine="0" w:firstLineChars="0"/>
              <w:jc w:val="both"/>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序号</w:t>
            </w:r>
          </w:p>
        </w:tc>
        <w:tc>
          <w:tcPr>
            <w:tcW w:w="1567" w:type="dxa"/>
            <w:tcBorders>
              <w:top w:val="single" w:color="190B16" w:sz="6" w:space="0"/>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学历（学位）</w:t>
            </w:r>
          </w:p>
        </w:tc>
        <w:tc>
          <w:tcPr>
            <w:tcW w:w="6343" w:type="dxa"/>
            <w:tcBorders>
              <w:top w:val="single" w:color="190B16" w:sz="6" w:space="0"/>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安全工程及相关专业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13" w:hRule="atLeast"/>
          <w:jc w:val="center"/>
        </w:trPr>
        <w:tc>
          <w:tcPr>
            <w:tcW w:w="588"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right="0"/>
              <w:jc w:val="left"/>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1</w:t>
            </w:r>
          </w:p>
        </w:tc>
        <w:tc>
          <w:tcPr>
            <w:tcW w:w="1567"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中专学历</w:t>
            </w:r>
          </w:p>
        </w:tc>
        <w:tc>
          <w:tcPr>
            <w:tcW w:w="6343"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42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农林牧渔类、资源环境类、能源与新能源类、土木水利类、加工制造类、石油化工类、轻纺食品类、交通运输类、信息技术类。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61" w:hRule="atLeast"/>
          <w:jc w:val="center"/>
        </w:trPr>
        <w:tc>
          <w:tcPr>
            <w:tcW w:w="588"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2</w:t>
            </w:r>
          </w:p>
        </w:tc>
        <w:tc>
          <w:tcPr>
            <w:tcW w:w="1567"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大学专科学历</w:t>
            </w:r>
          </w:p>
        </w:tc>
        <w:tc>
          <w:tcPr>
            <w:tcW w:w="6343"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48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农业类、林业类、资源勘查类、地质类、测绘地理信息类、石油与天然气类、煤炭类、金属与非金属矿类、环境保护类、安全类、电力技术类、热能与发电工程类、新能源发电工程类、黑色金属材料类、有色金属材料类、非金属材料类、建筑材料类、建筑设计类、城乡规划与管理类、土建施工类、建筑设备类、建设工程管理类、市政工程类、房地产类、水利工程与管理类、水利水电设备类、水土保持与水环境类、机械设计制造类、机电设备类、自动化类、铁道装备类、船舶与海洋工程装备类、航空装备类、汽车制造类、生物技术类、化工技术类、轻化工类、包装类、印刷类、纺织服装类、食品工业类、药品制造类、粮食工业类、粮食储检类、铁道运输类、道路运输类、水上运输类、航空运输类、管道运输类、城市轨道交通类、电子信息类、计算机类、通信类、物流类、公安管理类、公安指挥类、司法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8" w:hRule="atLeast"/>
          <w:jc w:val="center"/>
        </w:trPr>
        <w:tc>
          <w:tcPr>
            <w:tcW w:w="588"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3</w:t>
            </w:r>
          </w:p>
        </w:tc>
        <w:tc>
          <w:tcPr>
            <w:tcW w:w="1567"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大学本科学历</w:t>
            </w:r>
          </w:p>
        </w:tc>
        <w:tc>
          <w:tcPr>
            <w:tcW w:w="6343" w:type="dxa"/>
            <w:vMerge w:val="restart"/>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48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工学门类的所有专业类；公安学类、化学类、管理科学与工程类、物流管理与工程类、工业工程类。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8" w:hRule="atLeast"/>
          <w:jc w:val="center"/>
        </w:trPr>
        <w:tc>
          <w:tcPr>
            <w:tcW w:w="588"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4</w:t>
            </w:r>
          </w:p>
        </w:tc>
        <w:tc>
          <w:tcPr>
            <w:tcW w:w="1567"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第二学士学位</w:t>
            </w:r>
          </w:p>
        </w:tc>
        <w:tc>
          <w:tcPr>
            <w:tcW w:w="6343" w:type="dxa"/>
            <w:vMerge w:val="continue"/>
            <w:tcBorders>
              <w:top w:val="nil"/>
              <w:left w:val="nil"/>
              <w:bottom w:val="single" w:color="190B16" w:sz="6" w:space="0"/>
              <w:right w:val="single" w:color="190B16" w:sz="6" w:space="0"/>
            </w:tcBorders>
            <w:shd w:val="clear" w:color="auto" w:fill="FFFFFF"/>
            <w:vAlign w:val="center"/>
          </w:tcPr>
          <w:p>
            <w:pPr>
              <w:jc w:val="left"/>
              <w:rPr>
                <w:rFonts w:hint="eastAsia" w:ascii="宋体" w:hAnsi="宋体" w:eastAsia="宋体" w:cs="宋体"/>
                <w:i w:val="0"/>
                <w:iCs w:val="0"/>
                <w:caps w:val="0"/>
                <w:color w:val="190B16"/>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8" w:hRule="atLeast"/>
          <w:jc w:val="center"/>
        </w:trPr>
        <w:tc>
          <w:tcPr>
            <w:tcW w:w="588"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5</w:t>
            </w:r>
          </w:p>
        </w:tc>
        <w:tc>
          <w:tcPr>
            <w:tcW w:w="1567"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硕士学位</w:t>
            </w:r>
          </w:p>
        </w:tc>
        <w:tc>
          <w:tcPr>
            <w:tcW w:w="6343" w:type="dxa"/>
            <w:vMerge w:val="restart"/>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48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工学门类的所有学科；工程硕士、工程博士以及2018年对应调整后的电子信息、机械、材料与化工、资源与环境、能源动力、土木水利、生物与医药、交通运输等8种专业学位类别；管理学门类中的管理科学与工程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19" w:hRule="atLeast"/>
          <w:jc w:val="center"/>
        </w:trPr>
        <w:tc>
          <w:tcPr>
            <w:tcW w:w="588" w:type="dxa"/>
            <w:tcBorders>
              <w:top w:val="nil"/>
              <w:left w:val="single" w:color="190B16" w:sz="6" w:space="0"/>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6</w:t>
            </w:r>
          </w:p>
        </w:tc>
        <w:tc>
          <w:tcPr>
            <w:tcW w:w="1567" w:type="dxa"/>
            <w:tcBorders>
              <w:top w:val="nil"/>
              <w:left w:val="nil"/>
              <w:bottom w:val="single" w:color="190B16" w:sz="6" w:space="0"/>
              <w:right w:val="single" w:color="190B16" w:sz="6" w:space="0"/>
            </w:tcBorders>
            <w:shd w:val="clear" w:color="auto" w:fill="FFFFFF"/>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firstLine="0"/>
              <w:jc w:val="center"/>
              <w:rPr>
                <w:rFonts w:hint="eastAsia" w:ascii="宋体" w:hAnsi="宋体" w:eastAsia="宋体" w:cs="宋体"/>
                <w:sz w:val="21"/>
                <w:szCs w:val="21"/>
              </w:rPr>
            </w:pPr>
            <w:r>
              <w:rPr>
                <w:rFonts w:hint="eastAsia" w:ascii="宋体" w:hAnsi="宋体" w:eastAsia="宋体" w:cs="宋体"/>
                <w:i w:val="0"/>
                <w:iCs w:val="0"/>
                <w:caps w:val="0"/>
                <w:color w:val="190B16"/>
                <w:spacing w:val="0"/>
                <w:sz w:val="21"/>
                <w:szCs w:val="21"/>
                <w:bdr w:val="none" w:color="auto" w:sz="0" w:space="0"/>
              </w:rPr>
              <w:t>博士学位</w:t>
            </w:r>
          </w:p>
        </w:tc>
        <w:tc>
          <w:tcPr>
            <w:tcW w:w="6343" w:type="dxa"/>
            <w:vMerge w:val="continue"/>
            <w:tcBorders>
              <w:top w:val="nil"/>
              <w:left w:val="nil"/>
              <w:bottom w:val="single" w:color="190B16" w:sz="6" w:space="0"/>
              <w:right w:val="single" w:color="190B16" w:sz="6" w:space="0"/>
            </w:tcBorders>
            <w:shd w:val="clear" w:color="auto" w:fill="FFFFFF"/>
            <w:vAlign w:val="center"/>
          </w:tcPr>
          <w:p>
            <w:pPr>
              <w:jc w:val="left"/>
              <w:rPr>
                <w:rFonts w:hint="eastAsia" w:ascii="宋体" w:hAnsi="宋体" w:eastAsia="宋体" w:cs="宋体"/>
                <w:i w:val="0"/>
                <w:iCs w:val="0"/>
                <w:caps w:val="0"/>
                <w:color w:val="190B16"/>
                <w:spacing w:val="0"/>
                <w:sz w:val="21"/>
                <w:szCs w:val="21"/>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480"/>
        <w:jc w:val="left"/>
        <w:rPr>
          <w:rFonts w:hint="eastAsia" w:ascii="宋体" w:hAnsi="宋体" w:eastAsia="宋体" w:cs="宋体"/>
          <w:caps w:val="0"/>
          <w:color w:val="2D0201"/>
          <w:spacing w:val="0"/>
          <w:sz w:val="27"/>
          <w:szCs w:val="27"/>
        </w:rPr>
      </w:pPr>
      <w:r>
        <w:rPr>
          <w:rFonts w:hint="eastAsia" w:ascii="宋体" w:hAnsi="宋体" w:eastAsia="宋体" w:cs="宋体"/>
          <w:caps w:val="0"/>
          <w:color w:val="2D0201"/>
          <w:spacing w:val="0"/>
          <w:sz w:val="27"/>
          <w:szCs w:val="27"/>
          <w:bdr w:val="none" w:color="auto" w:sz="0" w:space="0"/>
          <w:shd w:val="clear" w:fill="FFFFFF"/>
        </w:rPr>
        <w:t>注：中专泛指普通中等专业学校、成人中等专业学校、职业高中、技工学校。</w:t>
      </w:r>
    </w:p>
    <w:p>
      <w:pPr>
        <w:ind w:left="0" w:leftChars="0"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0"/>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78323BC4"/>
    <w:multiLevelType w:val="multilevel"/>
    <w:tmpl w:val="78323BC4"/>
    <w:lvl w:ilvl="0" w:tentative="0">
      <w:start w:val="1"/>
      <w:numFmt w:val="decimal"/>
      <w:lvlText w:val="%1."/>
      <w:lvlJc w:val="left"/>
      <w:pPr>
        <w:ind w:left="425" w:hanging="425"/>
      </w:pPr>
      <w:rPr>
        <w:rFonts w:hint="eastAsia"/>
      </w:rPr>
    </w:lvl>
    <w:lvl w:ilvl="1" w:tentative="0">
      <w:start w:val="1"/>
      <w:numFmt w:val="decimal"/>
      <w:pStyle w:val="3"/>
      <w:isLg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C01FA"/>
    <w:rsid w:val="027C349D"/>
    <w:rsid w:val="032E4716"/>
    <w:rsid w:val="03A827DD"/>
    <w:rsid w:val="04177DDF"/>
    <w:rsid w:val="04B86280"/>
    <w:rsid w:val="059665C3"/>
    <w:rsid w:val="065D5D64"/>
    <w:rsid w:val="07884025"/>
    <w:rsid w:val="07A8013B"/>
    <w:rsid w:val="07A90064"/>
    <w:rsid w:val="0F915900"/>
    <w:rsid w:val="12A84D4E"/>
    <w:rsid w:val="14DE6499"/>
    <w:rsid w:val="15A905CA"/>
    <w:rsid w:val="188835B5"/>
    <w:rsid w:val="1A423A1E"/>
    <w:rsid w:val="1EC008D7"/>
    <w:rsid w:val="1F485688"/>
    <w:rsid w:val="1F532BED"/>
    <w:rsid w:val="207704FC"/>
    <w:rsid w:val="20D73870"/>
    <w:rsid w:val="21942A0C"/>
    <w:rsid w:val="219C5E1E"/>
    <w:rsid w:val="21C072A7"/>
    <w:rsid w:val="243918A1"/>
    <w:rsid w:val="24850DDC"/>
    <w:rsid w:val="24A97862"/>
    <w:rsid w:val="25137802"/>
    <w:rsid w:val="2543599C"/>
    <w:rsid w:val="26946E61"/>
    <w:rsid w:val="269907FE"/>
    <w:rsid w:val="2733630F"/>
    <w:rsid w:val="276E6BCC"/>
    <w:rsid w:val="2BCD4430"/>
    <w:rsid w:val="2FEC0991"/>
    <w:rsid w:val="300A49FA"/>
    <w:rsid w:val="36154CB3"/>
    <w:rsid w:val="37E85F28"/>
    <w:rsid w:val="386C4525"/>
    <w:rsid w:val="3B7D7091"/>
    <w:rsid w:val="3B8378E7"/>
    <w:rsid w:val="3BA71F4B"/>
    <w:rsid w:val="3D884C05"/>
    <w:rsid w:val="3E535C46"/>
    <w:rsid w:val="3E850F08"/>
    <w:rsid w:val="3EE8100F"/>
    <w:rsid w:val="423D5156"/>
    <w:rsid w:val="42A45AE6"/>
    <w:rsid w:val="42E3297C"/>
    <w:rsid w:val="435437CB"/>
    <w:rsid w:val="47065B07"/>
    <w:rsid w:val="4823355B"/>
    <w:rsid w:val="4B9B7676"/>
    <w:rsid w:val="4C0F72B8"/>
    <w:rsid w:val="4C460B90"/>
    <w:rsid w:val="4C650247"/>
    <w:rsid w:val="4C772389"/>
    <w:rsid w:val="4E3337FE"/>
    <w:rsid w:val="50607E50"/>
    <w:rsid w:val="50D825EA"/>
    <w:rsid w:val="51AB7FDD"/>
    <w:rsid w:val="57FF59A0"/>
    <w:rsid w:val="58C4427D"/>
    <w:rsid w:val="5BEE457C"/>
    <w:rsid w:val="5C185B3A"/>
    <w:rsid w:val="5D9F61C1"/>
    <w:rsid w:val="61924094"/>
    <w:rsid w:val="62801DAF"/>
    <w:rsid w:val="63D14343"/>
    <w:rsid w:val="6757546D"/>
    <w:rsid w:val="6AEE2686"/>
    <w:rsid w:val="71414CE3"/>
    <w:rsid w:val="71C25648"/>
    <w:rsid w:val="72362117"/>
    <w:rsid w:val="729D38A7"/>
    <w:rsid w:val="73666BAA"/>
    <w:rsid w:val="74020171"/>
    <w:rsid w:val="75C52AD5"/>
    <w:rsid w:val="780F1625"/>
    <w:rsid w:val="795135CA"/>
    <w:rsid w:val="7B441024"/>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480" w:firstLineChars="200"/>
    </w:pPr>
    <w:rPr>
      <w:rFonts w:ascii="宋体" w:hAnsi="宋体" w:eastAsia="宋体" w:cs="宋体"/>
      <w:kern w:val="0"/>
      <w:sz w:val="24"/>
      <w:szCs w:val="24"/>
      <w:lang w:val="en-US" w:eastAsia="zh-CN" w:bidi="ar-SA"/>
    </w:rPr>
  </w:style>
  <w:style w:type="paragraph" w:styleId="2">
    <w:name w:val="heading 1"/>
    <w:basedOn w:val="1"/>
    <w:next w:val="1"/>
    <w:link w:val="16"/>
    <w:qFormat/>
    <w:uiPriority w:val="0"/>
    <w:pPr>
      <w:spacing w:before="0" w:beforeAutospacing="1" w:after="0" w:afterAutospacing="1"/>
      <w:jc w:val="left"/>
    </w:pPr>
    <w:rPr>
      <w:rFonts w:hint="eastAsia" w:ascii="宋体" w:hAnsi="宋体" w:eastAsia="宋体" w:cs="宋体"/>
      <w:b/>
      <w:bCs/>
      <w:caps/>
      <w:color w:val="FF0000"/>
      <w:spacing w:val="17"/>
      <w:sz w:val="48"/>
      <w:szCs w:val="48"/>
      <w:lang w:val="en-US" w:eastAsia="zh-CN" w:bidi="ar"/>
    </w:rPr>
  </w:style>
  <w:style w:type="paragraph" w:styleId="3">
    <w:name w:val="heading 2"/>
    <w:basedOn w:val="1"/>
    <w:next w:val="1"/>
    <w:link w:val="19"/>
    <w:semiHidden/>
    <w:unhideWhenUsed/>
    <w:qFormat/>
    <w:uiPriority w:val="0"/>
    <w:pPr>
      <w:numPr>
        <w:ilvl w:val="1"/>
        <w:numId w:val="1"/>
      </w:num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rFonts w:eastAsia="仿宋" w:asciiTheme="minorAscii" w:hAnsiTheme="minorAscii" w:cstheme="minorBidi"/>
      <w:caps/>
      <w:spacing w:val="15"/>
      <w:sz w:val="24"/>
      <w:szCs w:val="22"/>
    </w:rPr>
  </w:style>
  <w:style w:type="paragraph" w:styleId="4">
    <w:name w:val="heading 3"/>
    <w:basedOn w:val="1"/>
    <w:next w:val="1"/>
    <w:link w:val="35"/>
    <w:semiHidden/>
    <w:unhideWhenUsed/>
    <w:qFormat/>
    <w:uiPriority w:val="0"/>
    <w:pPr>
      <w:pBdr>
        <w:top w:val="single" w:color="5B9BD5" w:themeColor="accent1" w:sz="6" w:space="2"/>
        <w:left w:val="single" w:color="5B9BD5" w:themeColor="accent1" w:sz="6" w:space="2"/>
      </w:pBdr>
      <w:spacing w:before="300" w:after="0"/>
      <w:outlineLvl w:val="2"/>
    </w:pPr>
    <w:rPr>
      <w:rFonts w:eastAsia="仿宋" w:asciiTheme="minorAscii" w:hAnsiTheme="minorAscii" w:cstheme="minorBidi"/>
      <w:caps/>
      <w:color w:val="1F4E79" w:themeColor="accent1" w:themeShade="80"/>
      <w:spacing w:val="15"/>
      <w:sz w:val="22"/>
      <w:szCs w:val="22"/>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5"/>
    <w:qFormat/>
    <w:uiPriority w:val="0"/>
    <w:pPr>
      <w:ind w:firstLine="420" w:firstLineChars="100"/>
    </w:pPr>
  </w:style>
  <w:style w:type="character" w:styleId="15">
    <w:name w:val="Strong"/>
    <w:basedOn w:val="14"/>
    <w:qFormat/>
    <w:uiPriority w:val="0"/>
    <w:rPr>
      <w:b/>
    </w:rPr>
  </w:style>
  <w:style w:type="character" w:customStyle="1" w:styleId="16">
    <w:name w:val="标题 1 字符"/>
    <w:basedOn w:val="14"/>
    <w:link w:val="2"/>
    <w:qFormat/>
    <w:uiPriority w:val="0"/>
    <w:rPr>
      <w:rFonts w:eastAsia="仿宋" w:asciiTheme="minorAscii" w:hAnsiTheme="minorAscii" w:cstheme="minorBidi"/>
      <w:b/>
      <w:bCs/>
      <w:caps/>
      <w:color w:val="FF0000"/>
      <w:spacing w:val="17"/>
      <w:sz w:val="28"/>
      <w:shd w:val="clear" w:color="auto" w:fill="5B9BD5" w:themeFill="accent1"/>
    </w:rPr>
  </w:style>
  <w:style w:type="paragraph" w:customStyle="1" w:styleId="17">
    <w:name w:val="新正文"/>
    <w:basedOn w:val="1"/>
    <w:link w:val="18"/>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18">
    <w:name w:val="新正文 Char"/>
    <w:link w:val="17"/>
    <w:qFormat/>
    <w:uiPriority w:val="0"/>
    <w:rPr>
      <w:rFonts w:hint="eastAsia" w:eastAsia="宋体"/>
      <w:kern w:val="2"/>
      <w:lang w:bidi="zh-CN"/>
    </w:rPr>
  </w:style>
  <w:style w:type="character" w:customStyle="1" w:styleId="19">
    <w:name w:val="标题 2 字符"/>
    <w:basedOn w:val="14"/>
    <w:link w:val="3"/>
    <w:qFormat/>
    <w:uiPriority w:val="0"/>
    <w:rPr>
      <w:rFonts w:eastAsia="仿宋" w:asciiTheme="minorAscii" w:hAnsiTheme="minorAscii" w:cstheme="minorBidi"/>
      <w:caps/>
      <w:spacing w:val="15"/>
      <w:sz w:val="24"/>
      <w:shd w:val="clear" w:color="auto" w:fill="DEEAF6" w:themeFill="accent1" w:themeFillTint="33"/>
    </w:rPr>
  </w:style>
  <w:style w:type="paragraph" w:customStyle="1" w:styleId="20">
    <w:name w:val="章节标题"/>
    <w:basedOn w:val="11"/>
    <w:qFormat/>
    <w:uiPriority w:val="0"/>
    <w:pPr>
      <w:keepNext/>
      <w:keepLines/>
      <w:spacing w:line="360" w:lineRule="auto"/>
      <w:ind w:firstLine="0" w:firstLineChars="0"/>
    </w:pPr>
    <w:rPr>
      <w:rFonts w:ascii="Arial" w:hAnsi="Arial"/>
      <w:bCs/>
      <w:kern w:val="2"/>
      <w:sz w:val="44"/>
      <w:szCs w:val="44"/>
      <w:shd w:val="clear" w:color="auto" w:fill="FFFFFF"/>
      <w:lang w:val="zh-TW" w:eastAsia="zh-TW" w:bidi="zh-TW"/>
    </w:rPr>
  </w:style>
  <w:style w:type="paragraph" w:customStyle="1" w:styleId="21">
    <w:name w:val="大标题"/>
    <w:basedOn w:val="1"/>
    <w:qFormat/>
    <w:uiPriority w:val="0"/>
    <w:pPr>
      <w:spacing w:line="360" w:lineRule="auto"/>
      <w:ind w:firstLine="0" w:firstLineChars="0"/>
      <w:jc w:val="center"/>
    </w:pPr>
    <w:rPr>
      <w:b/>
      <w:bCs/>
      <w:kern w:val="2"/>
      <w:sz w:val="32"/>
      <w:szCs w:val="32"/>
      <w:lang w:val="zh-TW" w:eastAsia="zh-TW" w:bidi="zh-TW"/>
    </w:rPr>
  </w:style>
  <w:style w:type="paragraph" w:customStyle="1" w:styleId="22">
    <w:name w:val="学习目标"/>
    <w:basedOn w:val="23"/>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3">
    <w:name w:val="章标题"/>
    <w:basedOn w:val="11"/>
    <w:qFormat/>
    <w:uiPriority w:val="0"/>
    <w:pPr>
      <w:keepNext/>
      <w:keepLines/>
      <w:spacing w:line="360" w:lineRule="auto"/>
      <w:ind w:firstLine="0" w:firstLineChars="0"/>
    </w:pPr>
    <w:rPr>
      <w:rFonts w:ascii="Arial" w:hAnsi="Arial"/>
      <w:bCs/>
      <w:kern w:val="2"/>
      <w:sz w:val="44"/>
      <w:szCs w:val="44"/>
      <w:shd w:val="clear" w:color="auto" w:fill="FFFFFF"/>
      <w:lang w:val="zh-TW" w:eastAsia="zh-TW" w:bidi="zh-TW"/>
    </w:rPr>
  </w:style>
  <w:style w:type="paragraph" w:customStyle="1" w:styleId="24">
    <w:name w:val="学习目标正文"/>
    <w:basedOn w:val="1"/>
    <w:qFormat/>
    <w:uiPriority w:val="0"/>
    <w:pPr>
      <w:tabs>
        <w:tab w:val="left" w:pos="1230"/>
      </w:tabs>
      <w:jc w:val="both"/>
    </w:pPr>
    <w:rPr>
      <w:rFonts w:hint="eastAsia"/>
      <w:kern w:val="2"/>
      <w:lang w:val="zh-TW" w:bidi="zh-TW"/>
    </w:rPr>
  </w:style>
  <w:style w:type="paragraph" w:customStyle="1" w:styleId="25">
    <w:name w:val="节标题"/>
    <w:basedOn w:val="1"/>
    <w:qFormat/>
    <w:uiPriority w:val="0"/>
    <w:pPr>
      <w:spacing w:line="360" w:lineRule="auto"/>
      <w:ind w:firstLine="0" w:firstLineChars="0"/>
      <w:jc w:val="center"/>
    </w:pPr>
    <w:rPr>
      <w:b/>
      <w:bCs/>
      <w:kern w:val="2"/>
      <w:sz w:val="32"/>
      <w:szCs w:val="32"/>
      <w:lang w:val="zh-TW" w:eastAsia="zh-TW" w:bidi="zh-TW"/>
    </w:rPr>
  </w:style>
  <w:style w:type="paragraph" w:customStyle="1" w:styleId="26">
    <w:name w:val="正文标题"/>
    <w:basedOn w:val="1"/>
    <w:link w:val="31"/>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27">
    <w:name w:val="法律引文"/>
    <w:basedOn w:val="1"/>
    <w:link w:val="34"/>
    <w:qFormat/>
    <w:uiPriority w:val="0"/>
    <w:pPr>
      <w:jc w:val="both"/>
    </w:pPr>
    <w:rPr>
      <w:rFonts w:hint="eastAsia" w:ascii="仿宋" w:hAnsi="仿宋" w:eastAsia="仿宋" w:cs="仿宋"/>
      <w:kern w:val="2"/>
      <w:lang w:val="zh-TW" w:eastAsia="zh-TW" w:bidi="zh-TW"/>
    </w:rPr>
  </w:style>
  <w:style w:type="paragraph" w:customStyle="1" w:styleId="28">
    <w:name w:val="三级标题"/>
    <w:basedOn w:val="1"/>
    <w:qFormat/>
    <w:uiPriority w:val="0"/>
    <w:pPr>
      <w:keepNext/>
      <w:keepLines/>
      <w:tabs>
        <w:tab w:val="left" w:pos="1139"/>
      </w:tabs>
      <w:spacing w:after="340"/>
      <w:ind w:left="0" w:leftChars="0" w:firstLine="480" w:firstLineChars="200"/>
      <w:jc w:val="left"/>
      <w:outlineLvl w:val="1"/>
    </w:pPr>
    <w:rPr>
      <w:rFonts w:hint="eastAsia"/>
      <w:b/>
      <w:bCs/>
      <w:kern w:val="2"/>
      <w:sz w:val="30"/>
      <w:szCs w:val="30"/>
      <w:lang w:val="zh-TW" w:eastAsia="zh-TW" w:bidi="zh-TW"/>
    </w:rPr>
  </w:style>
  <w:style w:type="paragraph" w:customStyle="1" w:styleId="29">
    <w:name w:val="图表标题"/>
    <w:basedOn w:val="1"/>
    <w:link w:val="33"/>
    <w:qFormat/>
    <w:uiPriority w:val="0"/>
    <w:pPr>
      <w:tabs>
        <w:tab w:val="left" w:pos="790"/>
      </w:tabs>
      <w:ind w:firstLine="0" w:firstLineChars="0"/>
      <w:jc w:val="center"/>
    </w:pPr>
    <w:rPr>
      <w:b/>
      <w:bCs/>
      <w:kern w:val="2"/>
      <w:sz w:val="18"/>
      <w:lang w:val="zh-TW" w:eastAsia="zh-TW" w:bidi="zh-TW"/>
    </w:rPr>
  </w:style>
  <w:style w:type="paragraph" w:customStyle="1" w:styleId="30">
    <w:name w:val="图表正文"/>
    <w:basedOn w:val="1"/>
    <w:qFormat/>
    <w:uiPriority w:val="0"/>
    <w:pPr>
      <w:numPr>
        <w:ilvl w:val="0"/>
        <w:numId w:val="2"/>
      </w:numPr>
      <w:tabs>
        <w:tab w:val="left" w:pos="790"/>
      </w:tabs>
      <w:ind w:firstLine="0" w:firstLineChars="0"/>
      <w:jc w:val="left"/>
    </w:pPr>
    <w:rPr>
      <w:bCs/>
      <w:kern w:val="2"/>
      <w:sz w:val="15"/>
      <w:lang w:val="zh-TW" w:eastAsia="zh-TW" w:bidi="zh-TW"/>
    </w:rPr>
  </w:style>
  <w:style w:type="character" w:customStyle="1" w:styleId="31">
    <w:name w:val="正文标题 Char"/>
    <w:link w:val="26"/>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2">
    <w:name w:val="正文修改"/>
    <w:basedOn w:val="1"/>
    <w:qFormat/>
    <w:uiPriority w:val="0"/>
    <w:pPr>
      <w:keepNext/>
      <w:keepLines/>
      <w:tabs>
        <w:tab w:val="left" w:pos="1139"/>
      </w:tabs>
      <w:jc w:val="both"/>
      <w:outlineLvl w:val="1"/>
    </w:pPr>
    <w:rPr>
      <w:rFonts w:hint="eastAsia"/>
      <w:bCs/>
      <w:kern w:val="2"/>
      <w:szCs w:val="30"/>
      <w:lang w:val="zh-TW" w:eastAsia="zh-TW" w:bidi="zh-TW"/>
    </w:rPr>
  </w:style>
  <w:style w:type="character" w:customStyle="1" w:styleId="33">
    <w:name w:val="图表标题 Char"/>
    <w:link w:val="29"/>
    <w:qFormat/>
    <w:uiPriority w:val="0"/>
    <w:rPr>
      <w:rFonts w:eastAsia="宋体"/>
      <w:b/>
      <w:bCs/>
      <w:kern w:val="2"/>
      <w:sz w:val="18"/>
      <w:lang w:val="zh-TW" w:eastAsia="zh-TW" w:bidi="zh-TW"/>
    </w:rPr>
  </w:style>
  <w:style w:type="character" w:customStyle="1" w:styleId="34">
    <w:name w:val="法律引文 Char"/>
    <w:link w:val="27"/>
    <w:qFormat/>
    <w:uiPriority w:val="0"/>
    <w:rPr>
      <w:rFonts w:hint="eastAsia" w:ascii="仿宋" w:hAnsi="仿宋" w:eastAsia="仿宋" w:cs="仿宋"/>
      <w:kern w:val="2"/>
      <w:lang w:val="zh-TW" w:eastAsia="zh-TW" w:bidi="zh-TW"/>
    </w:rPr>
  </w:style>
  <w:style w:type="character" w:customStyle="1" w:styleId="35">
    <w:name w:val="标题 3 字符"/>
    <w:basedOn w:val="14"/>
    <w:link w:val="4"/>
    <w:qFormat/>
    <w:uiPriority w:val="0"/>
    <w:rPr>
      <w:rFonts w:eastAsia="仿宋" w:asciiTheme="minorAscii" w:hAnsiTheme="minorAscii" w:cstheme="minorBidi"/>
      <w:caps/>
      <w:color w:val="1F4E79" w:themeColor="accent1" w:themeShade="80"/>
      <w:spacing w:val="15"/>
    </w:rPr>
  </w:style>
  <w:style w:type="paragraph" w:customStyle="1" w:styleId="36">
    <w:name w:val="大标题1"/>
    <w:basedOn w:val="23"/>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37">
    <w:name w:val="文内标题"/>
    <w:basedOn w:val="26"/>
    <w:link w:val="38"/>
    <w:qFormat/>
    <w:uiPriority w:val="0"/>
    <w:pPr>
      <w:spacing w:before="50" w:beforeLines="50"/>
    </w:pPr>
    <w:rPr>
      <w:sz w:val="24"/>
    </w:rPr>
  </w:style>
  <w:style w:type="character" w:customStyle="1" w:styleId="38">
    <w:name w:val="文内标题 Char"/>
    <w:link w:val="37"/>
    <w:qFormat/>
    <w:uiPriority w:val="0"/>
    <w:rPr>
      <w:rFonts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2022-01-13T02:29:08Z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3B01F3A33B264EBB8B2DCD1B3CEADCBD</vt:lpwstr>
  </property>
</Properties>
</file>