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8581" w14:textId="77777777" w:rsidR="008A4A46" w:rsidRDefault="00A100CC" w:rsidP="00A100CC">
      <w:pPr>
        <w:widowControl/>
        <w:shd w:val="clear" w:color="auto" w:fill="FFFFFF"/>
        <w:spacing w:line="240" w:lineRule="auto"/>
        <w:contextualSpacing w:val="0"/>
        <w:jc w:val="center"/>
        <w:rPr>
          <w:rFonts w:ascii="宋体" w:eastAsia="宋体" w:hAnsi="宋体" w:cs="宋体"/>
          <w:b/>
          <w:color w:val="000000"/>
          <w:kern w:val="0"/>
          <w:sz w:val="44"/>
          <w:szCs w:val="44"/>
        </w:rPr>
      </w:pPr>
      <w:r w:rsidRPr="00A100CC">
        <w:rPr>
          <w:rFonts w:ascii="宋体" w:eastAsia="宋体" w:hAnsi="宋体" w:cs="宋体" w:hint="eastAsia"/>
          <w:b/>
          <w:color w:val="000000"/>
          <w:kern w:val="0"/>
          <w:sz w:val="44"/>
          <w:szCs w:val="44"/>
        </w:rPr>
        <w:t>关于印发《河南省安全生产责任保险</w:t>
      </w:r>
    </w:p>
    <w:p w14:paraId="7CE09CA0" w14:textId="4FE5AFFE" w:rsidR="008A4A46" w:rsidRDefault="00A100CC" w:rsidP="00A100CC">
      <w:pPr>
        <w:widowControl/>
        <w:shd w:val="clear" w:color="auto" w:fill="FFFFFF"/>
        <w:spacing w:line="240" w:lineRule="auto"/>
        <w:contextualSpacing w:val="0"/>
        <w:jc w:val="center"/>
        <w:rPr>
          <w:rFonts w:ascii="宋体" w:eastAsia="宋体" w:hAnsi="宋体" w:cs="宋体"/>
          <w:b/>
          <w:color w:val="000000"/>
          <w:kern w:val="0"/>
          <w:sz w:val="44"/>
          <w:szCs w:val="44"/>
        </w:rPr>
      </w:pPr>
      <w:r w:rsidRPr="00A100CC">
        <w:rPr>
          <w:rFonts w:ascii="宋体" w:eastAsia="宋体" w:hAnsi="宋体" w:cs="宋体" w:hint="eastAsia"/>
          <w:b/>
          <w:color w:val="000000"/>
          <w:kern w:val="0"/>
          <w:sz w:val="44"/>
          <w:szCs w:val="44"/>
        </w:rPr>
        <w:t>实施细则》的通知</w:t>
      </w:r>
    </w:p>
    <w:p w14:paraId="2F6AC7B3" w14:textId="5159CB7F"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豫安监管〔2018〕78号</w:t>
      </w:r>
    </w:p>
    <w:p w14:paraId="2E7BED4E"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各省辖市、省直管县（市）安全生产监督管理局、财政局，南阳保监分局，各省级产险分公司：</w:t>
      </w:r>
    </w:p>
    <w:p w14:paraId="634B838E" w14:textId="6B1784B8"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008A4A46">
        <w:rPr>
          <w:rFonts w:ascii="Calibri" w:eastAsia="仿宋" w:hAnsi="Calibri" w:cs="Calibri"/>
          <w:bCs w:val="0"/>
          <w:color w:val="000000"/>
          <w:kern w:val="0"/>
          <w:sz w:val="32"/>
          <w:szCs w:val="32"/>
        </w:rPr>
        <w:t xml:space="preserve"> </w:t>
      </w:r>
      <w:r w:rsidRPr="00A100CC">
        <w:rPr>
          <w:rFonts w:ascii="仿宋" w:eastAsia="仿宋" w:hAnsi="仿宋" w:cs="宋体" w:hint="eastAsia"/>
          <w:bCs w:val="0"/>
          <w:color w:val="000000"/>
          <w:kern w:val="0"/>
          <w:sz w:val="32"/>
          <w:szCs w:val="32"/>
        </w:rPr>
        <w:t>根据《国家安全监管总局保监会财政部关于印发&lt;安全生产责任保险实施办法〉的通知》（安监总办〔2017〕140号）关于建立健全安全生产责任保险制度的要求，为进一步规范我省安全生产责任保险工作，切实发挥保险机构参与风险评估管控和事故预防功能，河南省安全生产监督管理局、原河南保监局、河南省财政厅制定了《河南省安全生产责任保险实施细则》，现印发给你们，请结合实际，认真贯彻落实。</w:t>
      </w:r>
    </w:p>
    <w:p w14:paraId="6302BD98" w14:textId="77777777" w:rsidR="00A100CC" w:rsidRPr="00A100CC" w:rsidRDefault="00A100CC" w:rsidP="00A100CC">
      <w:pPr>
        <w:widowControl/>
        <w:shd w:val="clear" w:color="auto" w:fill="FFFFFF"/>
        <w:spacing w:line="240" w:lineRule="auto"/>
        <w:ind w:firstLine="400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河南省安全生产监督管理局</w:t>
      </w:r>
    </w:p>
    <w:p w14:paraId="7B305658" w14:textId="77777777" w:rsidR="00A100CC" w:rsidRPr="00A100CC" w:rsidRDefault="00A100CC" w:rsidP="00A100CC">
      <w:pPr>
        <w:widowControl/>
        <w:shd w:val="clear" w:color="auto" w:fill="FFFFFF"/>
        <w:spacing w:line="240" w:lineRule="auto"/>
        <w:ind w:firstLine="112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中国银行保险监督管理委员会河南监管局筹备组</w:t>
      </w:r>
    </w:p>
    <w:p w14:paraId="086D5DEA" w14:textId="77777777" w:rsidR="00A100CC" w:rsidRPr="00A100CC" w:rsidRDefault="00A100CC" w:rsidP="00A100CC">
      <w:pPr>
        <w:widowControl/>
        <w:shd w:val="clear" w:color="auto" w:fill="FFFFFF"/>
        <w:spacing w:line="240" w:lineRule="auto"/>
        <w:ind w:firstLine="9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（原河南保监局代章）</w:t>
      </w:r>
    </w:p>
    <w:p w14:paraId="66B89BDE" w14:textId="77777777" w:rsidR="00A100CC" w:rsidRPr="00A100CC" w:rsidRDefault="00A100CC" w:rsidP="00A100CC">
      <w:pPr>
        <w:widowControl/>
        <w:shd w:val="clear" w:color="auto" w:fill="FFFFFF"/>
        <w:spacing w:line="240" w:lineRule="auto"/>
        <w:ind w:firstLine="592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河南省财政厅</w:t>
      </w:r>
    </w:p>
    <w:p w14:paraId="534086E3" w14:textId="77777777" w:rsidR="00A100CC" w:rsidRPr="00A100CC" w:rsidRDefault="00A100CC" w:rsidP="00A100CC">
      <w:pPr>
        <w:widowControl/>
        <w:shd w:val="clear" w:color="auto" w:fill="FFFFFF"/>
        <w:spacing w:line="240" w:lineRule="auto"/>
        <w:ind w:firstLine="560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2018年9月12日</w:t>
      </w:r>
    </w:p>
    <w:p w14:paraId="6D839A3D"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方正小标宋简体" w:eastAsia="方正小标宋简体" w:hAnsi="方正小标宋简体" w:cs="方正小标宋简体" w:hint="eastAsia"/>
          <w:b/>
          <w:color w:val="666666"/>
          <w:kern w:val="0"/>
          <w:sz w:val="36"/>
          <w:szCs w:val="36"/>
        </w:rPr>
        <w:br/>
      </w:r>
    </w:p>
    <w:p w14:paraId="0A6536C4" w14:textId="77777777" w:rsidR="008A4A46" w:rsidRDefault="008A4A46">
      <w:pPr>
        <w:widowControl/>
        <w:spacing w:line="240" w:lineRule="auto"/>
        <w:contextualSpacing w:val="0"/>
        <w:rPr>
          <w:rFonts w:ascii="方正小标宋简体" w:eastAsia="方正小标宋简体" w:hAnsi="方正小标宋简体" w:cs="方正小标宋简体"/>
          <w:b/>
          <w:color w:val="666666"/>
          <w:kern w:val="0"/>
          <w:sz w:val="36"/>
          <w:szCs w:val="36"/>
        </w:rPr>
      </w:pPr>
      <w:r>
        <w:rPr>
          <w:rFonts w:ascii="方正小标宋简体" w:eastAsia="方正小标宋简体" w:hAnsi="方正小标宋简体" w:cs="方正小标宋简体"/>
          <w:b/>
          <w:color w:val="666666"/>
          <w:kern w:val="0"/>
          <w:sz w:val="36"/>
          <w:szCs w:val="36"/>
        </w:rPr>
        <w:br w:type="page"/>
      </w:r>
    </w:p>
    <w:p w14:paraId="6CC105F3" w14:textId="003EF5B8"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方正小标宋简体" w:eastAsia="方正小标宋简体" w:hAnsi="方正小标宋简体" w:cs="方正小标宋简体" w:hint="eastAsia"/>
          <w:b/>
          <w:color w:val="666666"/>
          <w:kern w:val="0"/>
          <w:sz w:val="36"/>
          <w:szCs w:val="36"/>
        </w:rPr>
        <w:lastRenderedPageBreak/>
        <w:br/>
      </w:r>
    </w:p>
    <w:p w14:paraId="440E3BC8"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方正小标宋简体" w:eastAsia="方正小标宋简体" w:hAnsi="方正小标宋简体" w:cs="方正小标宋简体" w:hint="eastAsia"/>
          <w:b/>
          <w:color w:val="000000"/>
          <w:kern w:val="0"/>
          <w:sz w:val="36"/>
          <w:szCs w:val="36"/>
        </w:rPr>
        <w:t>河南省安全生产责任保险实施细则</w:t>
      </w:r>
    </w:p>
    <w:p w14:paraId="71182EE9"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47CC96E2"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t>第一章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总 则</w:t>
      </w:r>
    </w:p>
    <w:p w14:paraId="0EC527DB"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3C96C889"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第一条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为规范落实安全生产责任保险工作，强化事故预防,保障投保生产经营单位及有关人员的合法权益,依据《中华人民共和国安全生产法》、《中华人民共和国保险法》、《中共中央 国务院关于推进安全生产领域改革发展的意见》、《安全生产责任保险实施办法》、《河南省安全生产条例》等法律法规、规范性文件规定，结合本省实际，制定本细则。</w:t>
      </w:r>
    </w:p>
    <w:p w14:paraId="7F9810A6" w14:textId="77777777" w:rsidR="00A100CC" w:rsidRPr="00A100CC" w:rsidRDefault="00A100CC" w:rsidP="00A100CC">
      <w:pPr>
        <w:widowControl/>
        <w:shd w:val="clear" w:color="auto" w:fill="FFFFFF"/>
        <w:spacing w:line="240" w:lineRule="auto"/>
        <w:ind w:firstLine="63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本省行政区域内的煤矿、非煤矿山、危险化学品、烟花爆竹、交通运输、建筑施工、民用爆炸物品、金属冶炼等高危行业领域的生产经营单位应当投保安全生产责任保险。</w:t>
      </w:r>
    </w:p>
    <w:p w14:paraId="07C3AB31" w14:textId="77777777" w:rsidR="00A100CC" w:rsidRPr="00A100CC" w:rsidRDefault="00A100CC" w:rsidP="00A100CC">
      <w:pPr>
        <w:widowControl/>
        <w:shd w:val="clear" w:color="auto" w:fill="FFFFFF"/>
        <w:spacing w:line="240" w:lineRule="auto"/>
        <w:ind w:firstLine="62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鼓励其他行业领域生产经营单位投保安全生产责任保险。各省辖市、县（市、区）可针对本地区安全生产特点，明确其他行业、领域应当投保的生产经营单位。</w:t>
      </w:r>
    </w:p>
    <w:p w14:paraId="788B2614" w14:textId="77777777" w:rsidR="00A100CC" w:rsidRPr="00A100CC" w:rsidRDefault="00A100CC" w:rsidP="00A100CC">
      <w:pPr>
        <w:widowControl/>
        <w:shd w:val="clear" w:color="auto" w:fill="FFFFFF"/>
        <w:spacing w:line="240" w:lineRule="auto"/>
        <w:ind w:firstLine="63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第三条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本细则所称安全生产责任保险，是指保险机构对投保的生产经营单位发生的生产安全事故造成的人员伤</w:t>
      </w:r>
      <w:r w:rsidRPr="00A100CC">
        <w:rPr>
          <w:rFonts w:ascii="仿宋" w:eastAsia="仿宋" w:hAnsi="仿宋" w:cs="宋体" w:hint="eastAsia"/>
          <w:bCs w:val="0"/>
          <w:color w:val="000000"/>
          <w:kern w:val="0"/>
          <w:sz w:val="32"/>
          <w:szCs w:val="32"/>
        </w:rPr>
        <w:lastRenderedPageBreak/>
        <w:t>亡和有关经济损失等予以赔偿，并且为投保的生产经营单位提供生产安全事故预防服务的商业保险。</w:t>
      </w:r>
    </w:p>
    <w:p w14:paraId="0D40BEB6" w14:textId="77777777" w:rsidR="00A100CC" w:rsidRPr="00A100CC" w:rsidRDefault="00A100CC" w:rsidP="00A100CC">
      <w:pPr>
        <w:widowControl/>
        <w:shd w:val="clear" w:color="auto" w:fill="FFFFFF"/>
        <w:spacing w:line="240" w:lineRule="auto"/>
        <w:ind w:firstLine="63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第四条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安全生产责任保险制度按照安保互动长效机制，突出保险事故预防功能，坚持风险防控、费率合理、理赔及时的原则，按照政策引导、政府推动、市场运作的方式，运用差别费率和浮动费率动态调整机制，推动生产经营单位不断提高安全管理水平。</w:t>
      </w:r>
    </w:p>
    <w:p w14:paraId="07E0FFE5"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第五条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按照本细则请求的经济赔偿，不影响投保生产经营单位从业人员（含劳务派遣人员，下同）依法请求工伤保险赔偿的权利。</w:t>
      </w:r>
    </w:p>
    <w:p w14:paraId="5DC5BB5F" w14:textId="77777777" w:rsidR="00A100CC" w:rsidRPr="00A100CC" w:rsidRDefault="00A100CC" w:rsidP="00A100CC">
      <w:pPr>
        <w:widowControl/>
        <w:shd w:val="clear" w:color="auto" w:fill="FFFFFF"/>
        <w:spacing w:line="240" w:lineRule="auto"/>
        <w:ind w:firstLine="63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第六条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生产经营单位投保安全生产责任保险保费由单位缴纳，不得以任何方式摊派给从业人员个人。</w:t>
      </w:r>
    </w:p>
    <w:p w14:paraId="05B21AC9" w14:textId="77777777" w:rsidR="00A100CC" w:rsidRPr="00A100CC" w:rsidRDefault="00A100CC" w:rsidP="00A100CC">
      <w:pPr>
        <w:widowControl/>
        <w:shd w:val="clear" w:color="auto" w:fill="FFFFFF"/>
        <w:spacing w:line="240" w:lineRule="auto"/>
        <w:ind w:firstLine="62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生产经营单位已投保与安全生产相关的其他险种，应当增加或将其调整为安全生产责任保险，增强事故预防功能。</w:t>
      </w:r>
    </w:p>
    <w:p w14:paraId="1CBA3A62"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2F5E7F45"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t>第二章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承保与投保</w:t>
      </w:r>
    </w:p>
    <w:p w14:paraId="57454059"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16C27EB6"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第七条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承保安全生产责任保险的保险公司应当具有相应的专业资质和能力，主要包含以下方面：</w:t>
      </w:r>
    </w:p>
    <w:p w14:paraId="3E83C091"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（1）商业信誉情况；</w:t>
      </w:r>
    </w:p>
    <w:p w14:paraId="5F7F5A35"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lastRenderedPageBreak/>
        <w:t>   </w:t>
      </w:r>
      <w:r w:rsidRPr="00A100CC">
        <w:rPr>
          <w:rFonts w:ascii="仿宋" w:eastAsia="仿宋" w:hAnsi="仿宋" w:cs="宋体" w:hint="eastAsia"/>
          <w:bCs w:val="0"/>
          <w:color w:val="000000"/>
          <w:kern w:val="0"/>
          <w:sz w:val="32"/>
          <w:szCs w:val="32"/>
        </w:rPr>
        <w:t>（2）偿付能力水平；</w:t>
      </w:r>
    </w:p>
    <w:p w14:paraId="33B493CC"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（3）开展责任保险的业绩和规模；</w:t>
      </w:r>
    </w:p>
    <w:p w14:paraId="3196CC35"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（4）拥有风险管理专业人员的数量和相应专业资格情况；</w:t>
      </w:r>
    </w:p>
    <w:p w14:paraId="0124D198"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（5）为生产经营单位提供事故预防服务情况。</w:t>
      </w:r>
    </w:p>
    <w:p w14:paraId="7C895A81"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第八条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安全生产责任保险基本保障范围应当包含投保生产经营单位从业人员人身伤亡赔偿，第三者人身伤亡和财产损失赔偿，应急救援费用、事故鉴定和法律诉讼费用。</w:t>
      </w:r>
    </w:p>
    <w:p w14:paraId="3C620019"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保险公司可在基本保障基础上开发适应各类生产经营单位安全生产实际保障需求的医疗救护、职业病、财产损失等附加险种。</w:t>
      </w:r>
    </w:p>
    <w:p w14:paraId="16AAA06B"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第九条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全省同一行业安全生产责任保险实行统一的保险条款、费率及调节系数。</w:t>
      </w:r>
    </w:p>
    <w:p w14:paraId="2AD8DA7A"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保险机构使用的安全生产责任保险产品应当符合相关政策规定并按要求备案。</w:t>
      </w:r>
    </w:p>
    <w:p w14:paraId="5C42373C" w14:textId="77777777" w:rsidR="00A100CC" w:rsidRPr="00A100CC" w:rsidRDefault="00A100CC" w:rsidP="00A100CC">
      <w:pPr>
        <w:widowControl/>
        <w:shd w:val="clear" w:color="auto" w:fill="FFFFFF"/>
        <w:spacing w:line="240" w:lineRule="auto"/>
        <w:ind w:firstLine="643"/>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第十条</w:t>
      </w:r>
      <w:r w:rsidRPr="00A100CC">
        <w:rPr>
          <w:rFonts w:ascii="仿宋" w:eastAsia="仿宋" w:hAnsi="仿宋" w:cs="宋体" w:hint="eastAsia"/>
          <w:bCs w:val="0"/>
          <w:color w:val="000000"/>
          <w:kern w:val="0"/>
          <w:sz w:val="32"/>
          <w:szCs w:val="32"/>
        </w:rPr>
        <w:t>根据我省生产安全事故善后赔偿与补偿的实际水平，安全生产责任保险中涉及人员死亡的责任事故每人死亡赔偿最低限额不低于50万元，并按不低于全省上一年度城镇居民人均可支配收入的二十倍进行调整。</w:t>
      </w:r>
    </w:p>
    <w:p w14:paraId="734DEC7C"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对未造成人员死亡事故的赔偿保险金额度，应在保险合同中约定。</w:t>
      </w:r>
    </w:p>
    <w:p w14:paraId="0F763C46"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lastRenderedPageBreak/>
        <w:t>鼓励企业根据自身需要增加保险金额，提高风险保障能力。</w:t>
      </w:r>
    </w:p>
    <w:p w14:paraId="45F2FA35"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第十一条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保险机构开展安全生产责任保险业务，应当向开办业务地区省辖市、直管县（市）安全生产监督管理部门和有关部门报告。</w:t>
      </w:r>
    </w:p>
    <w:p w14:paraId="1575A69D"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公司的安全生产责任保险业务，应当与其他保险业务分开管理，单独核算；业务情况及总体盈利或者亏损情况，应当向有关部门报告；调整保险费率幅度较大的，应当由安全生产监督管理部门和保险监督管理部门进行听证。</w:t>
      </w:r>
    </w:p>
    <w:p w14:paraId="5D8582F7"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第十二条</w:t>
      </w:r>
      <w:r w:rsidRPr="00A100CC">
        <w:rPr>
          <w:rFonts w:ascii="仿宋" w:eastAsia="仿宋" w:hAnsi="仿宋" w:cs="宋体" w:hint="eastAsia"/>
          <w:bCs w:val="0"/>
          <w:color w:val="000000"/>
          <w:kern w:val="0"/>
          <w:sz w:val="32"/>
          <w:szCs w:val="32"/>
        </w:rPr>
        <w:t>充分利用保险费率杠杆的激励约束作用，实行保险费率与投保生产经营单位的安全状况挂钩，实施费率浮动，建立费率动态调整机制。</w:t>
      </w:r>
    </w:p>
    <w:p w14:paraId="65FE24D4"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保险机构可以结合行业和生产经营单位的实际情况，定期发布各行业领域安全生产责任保险的基准指导费率和浮动标准。</w:t>
      </w:r>
    </w:p>
    <w:p w14:paraId="61D7D6D2"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第十三条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生产经营单位投保安全生产责任保险签订保险合同时，应当向保险机构履行告知义务，如实告知有关安全生产状况的重要事项。重要事项包括：</w:t>
      </w:r>
    </w:p>
    <w:p w14:paraId="30590F28"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1.生产能力及规模；</w:t>
      </w:r>
    </w:p>
    <w:p w14:paraId="63A73557"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2.从业人员人数；</w:t>
      </w:r>
    </w:p>
    <w:p w14:paraId="20B63335"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3.安全生产工作开展情况；</w:t>
      </w:r>
    </w:p>
    <w:p w14:paraId="08D7419D"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lastRenderedPageBreak/>
        <w:t>4.生产安全事故发生及赔付情况；</w:t>
      </w:r>
    </w:p>
    <w:p w14:paraId="44FCD0D8"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5.是否被纳入安全生产领域联合惩戒“黑名单”；</w:t>
      </w:r>
    </w:p>
    <w:p w14:paraId="31E4B9C6"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6.其他与安全生产直接相关因素以及保险监督管理部门规定的其他事项。</w:t>
      </w:r>
    </w:p>
    <w:p w14:paraId="2EB7A976"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保险合同签订后，保险公司应当及时告知投保生产经营单位所在地的安全生产监督管理部门和有关部门。</w:t>
      </w:r>
    </w:p>
    <w:p w14:paraId="56ECE71D"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第十四条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投保安全生产责任保险的生产经营单位保险范围应当覆盖全体从业人员，既包括正式在册职工，也包括短期工、临时工、季节工和徒工等。因业务外包、劳务输入等方式为生产经营单位工作或提供服务的所有人员，也应将其纳入参保范围。</w:t>
      </w:r>
    </w:p>
    <w:p w14:paraId="596B15CE"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第十五条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签订安全生产责任保险合同时，保险机构不得强制投保生产经营单位订立其他商业保险合同以及提出附加其他条件的要求。</w:t>
      </w:r>
    </w:p>
    <w:p w14:paraId="7C306A9B"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第十六条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安全生产责任保险合同签订后，除符合法律法规规定的情形外，保险公司不得解除合同。</w:t>
      </w:r>
    </w:p>
    <w:p w14:paraId="6876B64A"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投保生产经营单位故意或因重大过失未履行如实告知义务，足以影响保险合同订立的，保险公司有权解除合同。解除合同前，应当书面通知投保生产经营单位，投保生产经营单位应当自收到通知之日起5日内履行如实告知义务；投保生产经营单位在上述期限内履行如实告知义务的，保险公司不得解除合同。</w:t>
      </w:r>
    </w:p>
    <w:p w14:paraId="2D3C29FF"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lastRenderedPageBreak/>
        <w:t>保险公司解除安全生产责任保险合同的，按规定退还剩余部分保险费、收回保险单，并书面告知生产经营单位所在地安全生产监督管理部门和有关部门。</w:t>
      </w:r>
    </w:p>
    <w:p w14:paraId="7823F1CD"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第十七条</w:t>
      </w: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安全生产责任保险的保险期间为一年，生产经营单位应当在保险合同期满前及时续保。</w:t>
      </w:r>
    </w:p>
    <w:p w14:paraId="16004155"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除被依法关闭取缔、完全停止生产经营活动外，应当投保安全生产责任保险的生产经营单位不得延迟续保、退保。</w:t>
      </w:r>
    </w:p>
    <w:p w14:paraId="22D71719" w14:textId="77777777" w:rsidR="00A100CC" w:rsidRPr="00A100CC" w:rsidRDefault="00A100CC" w:rsidP="00A100CC">
      <w:pPr>
        <w:widowControl/>
        <w:shd w:val="clear" w:color="auto" w:fill="FFFFFF"/>
        <w:spacing w:line="240" w:lineRule="auto"/>
        <w:ind w:left="1987"/>
        <w:contextualSpacing w:val="0"/>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309DDCEB" w14:textId="77777777" w:rsidR="00A100CC" w:rsidRPr="00A100CC" w:rsidRDefault="00A100CC" w:rsidP="00A100CC">
      <w:pPr>
        <w:widowControl/>
        <w:shd w:val="clear" w:color="auto" w:fill="FFFFFF"/>
        <w:spacing w:line="240" w:lineRule="auto"/>
        <w:ind w:left="1987"/>
        <w:contextualSpacing w:val="0"/>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t>第三章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风险评估与事故预防</w:t>
      </w:r>
    </w:p>
    <w:p w14:paraId="3330FE1C" w14:textId="77777777" w:rsidR="00A100CC" w:rsidRPr="00A100CC" w:rsidRDefault="00A100CC" w:rsidP="00A100CC">
      <w:pPr>
        <w:widowControl/>
        <w:shd w:val="clear" w:color="auto" w:fill="FFFFFF"/>
        <w:spacing w:line="240" w:lineRule="auto"/>
        <w:ind w:left="1987"/>
        <w:contextualSpacing w:val="0"/>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799150BC"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第十八条</w:t>
      </w:r>
      <w:bookmarkStart w:id="0" w:name="OLE_LINK17"/>
      <w:bookmarkEnd w:id="0"/>
      <w:r w:rsidRPr="00A100CC">
        <w:rPr>
          <w:rFonts w:ascii="仿宋" w:eastAsia="仿宋" w:hAnsi="仿宋" w:cs="宋体" w:hint="eastAsia"/>
          <w:bCs w:val="0"/>
          <w:color w:val="000000"/>
          <w:kern w:val="0"/>
          <w:sz w:val="32"/>
          <w:szCs w:val="32"/>
        </w:rPr>
        <w:t>保险机构承保安全生产责任保险，应当在承保前开展安全风险评估，生产经营单位应当积极配合。</w:t>
      </w:r>
    </w:p>
    <w:p w14:paraId="56D330F6" w14:textId="77777777" w:rsidR="00A100CC" w:rsidRPr="00A100CC" w:rsidRDefault="00A100CC" w:rsidP="00A100CC">
      <w:pPr>
        <w:widowControl/>
        <w:shd w:val="clear" w:color="auto" w:fill="FFFFFF"/>
        <w:spacing w:line="240" w:lineRule="auto"/>
        <w:ind w:firstLine="643"/>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第十九条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保险机构应当建立生产安全事故预防服务制度，协助投保的生产经营单位开展以下工作：</w:t>
      </w:r>
    </w:p>
    <w:p w14:paraId="7F0A2029" w14:textId="77777777" w:rsidR="00A100CC" w:rsidRPr="00A100CC" w:rsidRDefault="00A100CC" w:rsidP="00A100CC">
      <w:pPr>
        <w:widowControl/>
        <w:shd w:val="clear" w:color="auto" w:fill="FFFFFF"/>
        <w:spacing w:line="240" w:lineRule="auto"/>
        <w:ind w:left="1"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（1）安全生产和职业病防治宣传教育培训；</w:t>
      </w:r>
    </w:p>
    <w:p w14:paraId="4280BA15" w14:textId="77777777" w:rsidR="00A100CC" w:rsidRPr="00A100CC" w:rsidRDefault="00A100CC" w:rsidP="00A100CC">
      <w:pPr>
        <w:widowControl/>
        <w:shd w:val="clear" w:color="auto" w:fill="FFFFFF"/>
        <w:spacing w:line="240" w:lineRule="auto"/>
        <w:ind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（2）安全风险辨识、评估和安全评价；</w:t>
      </w:r>
    </w:p>
    <w:p w14:paraId="5F6F94C3" w14:textId="77777777" w:rsidR="00A100CC" w:rsidRPr="00A100CC" w:rsidRDefault="00A100CC" w:rsidP="00A100CC">
      <w:pPr>
        <w:widowControl/>
        <w:shd w:val="clear" w:color="auto" w:fill="FFFFFF"/>
        <w:spacing w:line="240" w:lineRule="auto"/>
        <w:ind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（3）安全生产标准化建设；</w:t>
      </w:r>
    </w:p>
    <w:p w14:paraId="56AAF493" w14:textId="77777777" w:rsidR="00A100CC" w:rsidRPr="00A100CC" w:rsidRDefault="00A100CC" w:rsidP="00A100CC">
      <w:pPr>
        <w:widowControl/>
        <w:shd w:val="clear" w:color="auto" w:fill="FFFFFF"/>
        <w:spacing w:line="240" w:lineRule="auto"/>
        <w:ind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（4）生产安全事故隐患排查治理；</w:t>
      </w:r>
    </w:p>
    <w:p w14:paraId="77758F47" w14:textId="77777777" w:rsidR="00A100CC" w:rsidRPr="00A100CC" w:rsidRDefault="00A100CC" w:rsidP="00A100CC">
      <w:pPr>
        <w:widowControl/>
        <w:shd w:val="clear" w:color="auto" w:fill="FFFFFF"/>
        <w:spacing w:line="240" w:lineRule="auto"/>
        <w:ind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（5）安全生产应急预案编制和应急救援演练；</w:t>
      </w:r>
    </w:p>
    <w:p w14:paraId="74069BDD" w14:textId="77777777" w:rsidR="00A100CC" w:rsidRPr="00A100CC" w:rsidRDefault="00A100CC" w:rsidP="00A100CC">
      <w:pPr>
        <w:widowControl/>
        <w:shd w:val="clear" w:color="auto" w:fill="FFFFFF"/>
        <w:spacing w:line="240" w:lineRule="auto"/>
        <w:ind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（6）安全生产科技推广应用；</w:t>
      </w:r>
    </w:p>
    <w:p w14:paraId="3C965DE7" w14:textId="77777777" w:rsidR="00A100CC" w:rsidRPr="00A100CC" w:rsidRDefault="00A100CC" w:rsidP="00A100CC">
      <w:pPr>
        <w:widowControl/>
        <w:shd w:val="clear" w:color="auto" w:fill="FFFFFF"/>
        <w:spacing w:line="240" w:lineRule="auto"/>
        <w:ind w:firstLine="70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lastRenderedPageBreak/>
        <w:t>（7）其他有关事故预防工作。</w:t>
      </w:r>
    </w:p>
    <w:p w14:paraId="6F9D410E" w14:textId="77777777" w:rsidR="00A100CC" w:rsidRPr="00A100CC" w:rsidRDefault="00A100CC" w:rsidP="00A100CC">
      <w:pPr>
        <w:widowControl/>
        <w:shd w:val="clear" w:color="auto" w:fill="FFFFFF"/>
        <w:spacing w:line="240" w:lineRule="auto"/>
        <w:ind w:firstLine="64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保险机构应当在安全生产责任保险合同中与生产经营单位约定清楚具体的服务项目及频次。</w:t>
      </w:r>
    </w:p>
    <w:p w14:paraId="7ED5A3A1"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保险机构每年应当从安全生产责任保险收入中提取至少10%作为事故预防费用，专门用于开展事故预防服务。保险机构可自行或委托相关社会化服务机构协助开展事故预防服务工作。</w:t>
      </w:r>
    </w:p>
    <w:p w14:paraId="64F346E8"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鼓励保险机构聘用注册安全工程师，为投保生产经营单位提供专业化服务。</w:t>
      </w:r>
    </w:p>
    <w:p w14:paraId="63F41004"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第二十一条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对保险机构在风险评估与事故预防服务过程中发现的生产安全事故隐患，投保生产经营单位应当在双方约定时间内进行整改。投保生产经营单位拒不整改重大事故隐患的，保险机构可在下一投保年度上浮保险费率，并报告安全生产监督管理部门和相关部门。</w:t>
      </w:r>
    </w:p>
    <w:p w14:paraId="25174C36"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第二十二条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保险机构按照保险合同约定为投保生产经营单位开展安全风险评估、生产安全事故隐患排查等事故预防服务工作，均应采用书面材料形式，定期报送至所在地安全生产监督管理部门和有关部门。</w:t>
      </w:r>
    </w:p>
    <w:p w14:paraId="09D37688" w14:textId="77777777" w:rsidR="00A100CC" w:rsidRPr="00A100CC" w:rsidRDefault="00A100CC" w:rsidP="00A100CC">
      <w:pPr>
        <w:widowControl/>
        <w:shd w:val="clear" w:color="auto" w:fill="FFFFFF"/>
        <w:spacing w:line="240" w:lineRule="auto"/>
        <w:ind w:firstLine="660"/>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1076FAC1" w14:textId="77777777" w:rsidR="00A100CC" w:rsidRPr="00A100CC" w:rsidRDefault="00A100CC" w:rsidP="00A100CC">
      <w:pPr>
        <w:widowControl/>
        <w:shd w:val="clear" w:color="auto" w:fill="FFFFFF"/>
        <w:spacing w:line="240" w:lineRule="auto"/>
        <w:ind w:firstLine="660"/>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t>第四章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理</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赔</w:t>
      </w:r>
    </w:p>
    <w:p w14:paraId="3F7E6C32" w14:textId="77777777" w:rsidR="00A100CC" w:rsidRPr="00A100CC" w:rsidRDefault="00A100CC" w:rsidP="00A100CC">
      <w:pPr>
        <w:widowControl/>
        <w:shd w:val="clear" w:color="auto" w:fill="FFFFFF"/>
        <w:spacing w:line="240" w:lineRule="auto"/>
        <w:ind w:firstLine="660"/>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700988D6"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lastRenderedPageBreak/>
        <w:t>第二十三条</w:t>
      </w: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生产经营单位在安全生产责任保险合同有效期内发生生产安全事故，造成合同约定赔偿范围内的损失的，由保险公司按照合同及时予以赔偿。</w:t>
      </w:r>
    </w:p>
    <w:p w14:paraId="38D36F4E"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安全生产责任保险请求赔偿或者给付保险金的诉讼时效期间为二年，自其知道或者应当知道保险事故发生之日起计算。</w:t>
      </w:r>
    </w:p>
    <w:p w14:paraId="2261DD07"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第二十四条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在接到投保的生产经营单位或受害者出险通知后，除因抢险救援、事故调查等导致的无法进入现场的情形外，应当及时组织安全生产专家、鉴定评估机构或者其他具有专业资质和能力的单位和个人，开展事故勘查、定损和责任认定，生产经营单位应当予以配合。</w:t>
      </w:r>
    </w:p>
    <w:p w14:paraId="1F691948"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保险公司应当简化理赔手续，不应以安全生产监管部门出具的生产安全事故认定、损失等文件或者资料作为保险事故核定或者理赔的前提条件。</w:t>
      </w:r>
    </w:p>
    <w:p w14:paraId="1DFB9A6D"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第二十五条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生产经营单位按照保险合同请求保险公司赔偿保险金时，应当向保险公司提供其所能提供的与确认伤害或</w:t>
      </w:r>
      <w:bookmarkStart w:id="1" w:name="_GoBack"/>
      <w:bookmarkEnd w:id="1"/>
      <w:r w:rsidRPr="00A100CC">
        <w:rPr>
          <w:rFonts w:ascii="仿宋" w:eastAsia="仿宋" w:hAnsi="仿宋" w:cs="宋体" w:hint="eastAsia"/>
          <w:bCs w:val="0"/>
          <w:color w:val="000000"/>
          <w:kern w:val="0"/>
          <w:sz w:val="32"/>
          <w:szCs w:val="32"/>
        </w:rPr>
        <w:t>者损失的原因、损失程度等有关的证明和资料。</w:t>
      </w:r>
    </w:p>
    <w:p w14:paraId="58601513"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保险公司按照保险合同的约定，认为有关的证明和资料不完整的，应当及时一次性通知生产经营单位补充提供。</w:t>
      </w:r>
    </w:p>
    <w:p w14:paraId="79154CB2"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lastRenderedPageBreak/>
        <w:t>第二十六条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生产经营单位应当及时将赔偿保险金支付给受伤人员或者死亡人员的受益人，或者请求保险机构直接向受害人赔付。生产经营单位怠于请求的，受害人有权就其应获赔偿部分直接向保险机构请求赔付。</w:t>
      </w:r>
    </w:p>
    <w:p w14:paraId="412C3DDA"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第二十七条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保险机构收到生产经营单位赔偿保险金的请求和相关证明、资料后，应当及时作出核定；情形复杂的，应当在30日内作出核定，但保险合同另有约定的除外。</w:t>
      </w:r>
    </w:p>
    <w:p w14:paraId="594DB154"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保险机构应当及时将核定结果通知生产经营单位以及受害者；对于不属于保险责任的，应当书面说明理由；对于属于保险责任的，应在与生产经营单位达成赔偿协议十日内，按照合同约定支付赔偿金。</w:t>
      </w:r>
    </w:p>
    <w:p w14:paraId="1498DB41" w14:textId="77777777" w:rsidR="00A100CC" w:rsidRPr="00A100CC" w:rsidRDefault="00A100CC" w:rsidP="00A100CC">
      <w:pPr>
        <w:widowControl/>
        <w:shd w:val="clear" w:color="auto" w:fill="FFFFFF"/>
        <w:spacing w:line="240" w:lineRule="auto"/>
        <w:ind w:firstLine="66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第二十八条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保险机构应当建立快速理赔制度，在事故发生后按照法律法规或者合同约定先行支付损失确定部分的赔偿保险金。</w:t>
      </w:r>
    </w:p>
    <w:p w14:paraId="47200A21"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第二十九条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同一生产经营单位的从业人员获取的保险金额应当实行同一标准，不得因用工方式、工作岗位等差别对待。</w:t>
      </w:r>
    </w:p>
    <w:p w14:paraId="333172B3"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第三十条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安全生产责任保险合同双方对赔偿有争议的，可以依法申请仲裁或向人民法院提起诉讼。</w:t>
      </w:r>
    </w:p>
    <w:p w14:paraId="0B0A0749"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1AC62F39"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t>第五章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激励与保障</w:t>
      </w:r>
    </w:p>
    <w:p w14:paraId="400E5DEC"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lastRenderedPageBreak/>
        <w:br/>
      </w:r>
    </w:p>
    <w:p w14:paraId="0235F3C4" w14:textId="77777777" w:rsidR="00A100CC" w:rsidRPr="00A100CC" w:rsidRDefault="00A100CC" w:rsidP="00A100CC">
      <w:pPr>
        <w:widowControl/>
        <w:shd w:val="clear" w:color="auto" w:fill="FFFFFF"/>
        <w:spacing w:line="240" w:lineRule="auto"/>
        <w:ind w:firstLine="645"/>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第三十一条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安全生产监督管理部门和有关部门应当将安全生产责任保险投保情况作为生产经营单位安全生产诚信等级评定的必要条件，作为安全生产与职业健康风险分类监管，以及取得安全生产许可证的重要参考。</w:t>
      </w:r>
    </w:p>
    <w:p w14:paraId="6AD54F30"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第三十二条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各省辖市、县（市、区）应当在安全生产相关财政资金投入、信贷融资、项目立项、招投标、进入工业园区以及相关产业扶持政策等方面，在同等条件下优先考虑投保安全生产责任保险的生产经营单位。</w:t>
      </w:r>
    </w:p>
    <w:p w14:paraId="144BCBFE"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第三十三条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各地应当将推行安全生产责任保险情况，纳入对本级政府有关部门和下级人民政府安全生产工作巡查和考核内容。</w:t>
      </w:r>
    </w:p>
    <w:p w14:paraId="3ADD9AE0"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第三十四条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对赔付及时、事故预防成效显著的保险机构，纳入安全生产诚信管理体系，实行联合激励。</w:t>
      </w:r>
    </w:p>
    <w:p w14:paraId="628B67C7"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第三十五条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生产经营单位投保安全生产责任保险的保费纳入安全生产费用支出，按有关规定计入生产成本。</w:t>
      </w:r>
    </w:p>
    <w:p w14:paraId="1919266C"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第三十六条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鼓励有关安全生产行业社团、社会化服务机构为保险机构开展安全生产事故预防提供技术支撑。</w:t>
      </w:r>
    </w:p>
    <w:p w14:paraId="74E3AAA3"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第三十七条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鼓励保险机构根据工作实际采取共保方式开展安全生产责任保险工作。</w:t>
      </w:r>
    </w:p>
    <w:p w14:paraId="5D163243"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379328B4"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lastRenderedPageBreak/>
        <w:t>第六章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监督与管理</w:t>
      </w:r>
    </w:p>
    <w:p w14:paraId="238D5E9A"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0173124A"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第三十八条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省安全生产监督管理部门、省保险监督管理部门、省财政厅负责统一组织实施全省的安全生产责任保险推行工作。</w:t>
      </w:r>
    </w:p>
    <w:p w14:paraId="36915A47" w14:textId="77777777" w:rsidR="00A100CC" w:rsidRPr="00A100CC" w:rsidRDefault="00A100CC" w:rsidP="00A100CC">
      <w:pPr>
        <w:widowControl/>
        <w:shd w:val="clear" w:color="auto" w:fill="FFFFFF"/>
        <w:spacing w:line="240" w:lineRule="auto"/>
        <w:ind w:firstLine="62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保险监督管理部门依法对保险机构的安全生产责任保险业务实施监督管理。</w:t>
      </w:r>
    </w:p>
    <w:p w14:paraId="014134E2" w14:textId="77777777" w:rsidR="00A100CC" w:rsidRPr="00A100CC" w:rsidRDefault="00A100CC" w:rsidP="00A100CC">
      <w:pPr>
        <w:widowControl/>
        <w:shd w:val="clear" w:color="auto" w:fill="FFFFFF"/>
        <w:spacing w:line="240" w:lineRule="auto"/>
        <w:ind w:firstLine="627"/>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Cs w:val="0"/>
          <w:color w:val="000000"/>
          <w:kern w:val="0"/>
          <w:sz w:val="32"/>
          <w:szCs w:val="32"/>
        </w:rPr>
        <w:t>县级以上安全生产监督管理部门及县级以上负有安全生产监督管理职责的有关部门依法对生产经营单位投保安全生产责任保险情况实施监督管理。</w:t>
      </w:r>
    </w:p>
    <w:p w14:paraId="3D966DEF"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第三十九条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工会有权组织职工监督生产经营单位参加安全生产责任保险，维护职工在安全生产方面的合法权益。</w:t>
      </w:r>
    </w:p>
    <w:p w14:paraId="4F044DA1"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生产经营单位的工会有权对本单位安全生产责任保险的执行情况进行监督，提出工作意见和建议。</w:t>
      </w:r>
    </w:p>
    <w:p w14:paraId="7322FCB1"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各部门应坚持公平、公开、公正原则，依法公开安全生产责任保险工作情况有关信息，接受社会监督。</w:t>
      </w:r>
    </w:p>
    <w:p w14:paraId="2044FF06"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第四十条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建立安全生产监督管理部门和保险监督管理部门信息共享机制。安全生产监督管理部门和有关部门应当建立安全生产责任保险信息管理平台，并与安全生产监管信息平台对接。</w:t>
      </w:r>
    </w:p>
    <w:p w14:paraId="11F8523D" w14:textId="77777777" w:rsidR="00A100CC" w:rsidRPr="00A100CC" w:rsidRDefault="00A100CC" w:rsidP="00A100CC">
      <w:pPr>
        <w:widowControl/>
        <w:shd w:val="clear" w:color="auto" w:fill="FFFFFF"/>
        <w:spacing w:line="240" w:lineRule="auto"/>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信息平台应及时公布投保安全生产责任保险生产经营单位的安全生产违法行为和生产安全事故信息，为费率浮动提</w:t>
      </w:r>
      <w:r w:rsidRPr="00A100CC">
        <w:rPr>
          <w:rFonts w:ascii="仿宋" w:eastAsia="仿宋" w:hAnsi="仿宋" w:cs="宋体" w:hint="eastAsia"/>
          <w:bCs w:val="0"/>
          <w:color w:val="000000"/>
          <w:kern w:val="0"/>
          <w:sz w:val="32"/>
          <w:szCs w:val="32"/>
        </w:rPr>
        <w:lastRenderedPageBreak/>
        <w:t>供依据，对保险机构开展生产安全事故预防服务及服务费用支出使用情况定期进行分析评估。</w:t>
      </w:r>
    </w:p>
    <w:p w14:paraId="7E77A574" w14:textId="77777777" w:rsidR="00A100CC" w:rsidRPr="00A100CC" w:rsidRDefault="00A100CC" w:rsidP="00A100CC">
      <w:pPr>
        <w:widowControl/>
        <w:shd w:val="clear" w:color="auto" w:fill="FFFFFF"/>
        <w:spacing w:line="240" w:lineRule="auto"/>
        <w:ind w:firstLine="645"/>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第四十一条</w:t>
      </w:r>
      <w:r w:rsidRPr="00A100CC">
        <w:rPr>
          <w:rFonts w:ascii="仿宋" w:eastAsia="仿宋" w:hAnsi="仿宋" w:cs="宋体" w:hint="eastAsia"/>
          <w:bCs w:val="0"/>
          <w:color w:val="000000"/>
          <w:kern w:val="0"/>
          <w:sz w:val="32"/>
          <w:szCs w:val="32"/>
        </w:rPr>
        <w:t>安全生产责任保险工作的推行可以委托有合法资质的保险经纪机构提供专业化服务,鼓励通过招标或者竞争性谈判的方式择优选择安责险承保保险公司。</w:t>
      </w:r>
    </w:p>
    <w:p w14:paraId="4F13554A"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第四十二条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安全生产监督管理部门、保险监督管理部门和有关部门应对生产经营单位和保险机构不定期开展安全生产责任保险专项检查，并对有关工作进行评估。</w:t>
      </w:r>
    </w:p>
    <w:p w14:paraId="33BBE55B" w14:textId="77777777" w:rsidR="00A100CC" w:rsidRPr="00A100CC" w:rsidRDefault="00A100CC" w:rsidP="00A100CC">
      <w:pPr>
        <w:widowControl/>
        <w:shd w:val="clear" w:color="auto" w:fill="FFFFFF"/>
        <w:spacing w:line="240" w:lineRule="auto"/>
        <w:ind w:firstLine="480"/>
        <w:contextualSpacing w:val="0"/>
        <w:rPr>
          <w:rFonts w:ascii="微软雅黑" w:eastAsia="微软雅黑" w:hAnsi="微软雅黑" w:cs="宋体" w:hint="eastAsia"/>
          <w:bCs w:val="0"/>
          <w:color w:val="666666"/>
          <w:kern w:val="0"/>
          <w:sz w:val="18"/>
          <w:szCs w:val="18"/>
        </w:rPr>
      </w:pPr>
      <w:r w:rsidRPr="00A100CC">
        <w:rPr>
          <w:rFonts w:ascii="Calibri" w:eastAsia="仿宋" w:hAnsi="Calibri" w:cs="Calibri"/>
          <w:b/>
          <w:color w:val="000000"/>
          <w:kern w:val="0"/>
          <w:sz w:val="32"/>
          <w:szCs w:val="32"/>
        </w:rPr>
        <w:t> </w:t>
      </w:r>
      <w:r w:rsidRPr="00A100CC">
        <w:rPr>
          <w:rFonts w:ascii="仿宋" w:eastAsia="仿宋" w:hAnsi="仿宋" w:cs="宋体" w:hint="eastAsia"/>
          <w:b/>
          <w:color w:val="000000"/>
          <w:kern w:val="0"/>
          <w:sz w:val="32"/>
          <w:szCs w:val="32"/>
        </w:rPr>
        <w:t>第四十三条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保险机构在安全生产责任保险业务开展过程中未按照相关保险法律法规执行的，由保险监督管理部门依照有关法律法规处理。</w:t>
      </w:r>
    </w:p>
    <w:p w14:paraId="4A5A95FF"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第四十四条</w:t>
      </w:r>
      <w:r w:rsidRPr="00A100CC">
        <w:rPr>
          <w:rFonts w:ascii="Calibri" w:eastAsia="仿宋" w:hAnsi="Calibri" w:cs="Calibri"/>
          <w:bCs w:val="0"/>
          <w:color w:val="666666"/>
          <w:kern w:val="0"/>
          <w:sz w:val="32"/>
          <w:szCs w:val="32"/>
        </w:rPr>
        <w:t> </w:t>
      </w:r>
      <w:r w:rsidRPr="00A100CC">
        <w:rPr>
          <w:rFonts w:ascii="仿宋_GB2312" w:eastAsia="仿宋_GB2312" w:hAnsi="仿宋_GB2312" w:cs="仿宋_GB2312" w:hint="eastAsia"/>
          <w:bCs w:val="0"/>
          <w:color w:val="000000"/>
          <w:kern w:val="0"/>
          <w:sz w:val="32"/>
          <w:szCs w:val="32"/>
        </w:rPr>
        <w:t>对生产经营单位应当投保但未按规定投保或续保、将保费以各种形式摊派给从业人员个人、未及时将赔偿保险金支付给受害人的，保险机构预防费用投入不足、未履行事故预防责任、委托未取得合法资格的社会化服务机构开展事故预防工作的，安全生产监督管理部门、保险监督管理部门及有关部门应当提出整改要求；对拒不整改的，应当将其纳入安全生产领域联合惩戒“黑名单”管理，对违反相关法律法规规定的，依法追究其法律责任。</w:t>
      </w:r>
    </w:p>
    <w:p w14:paraId="10392B7C" w14:textId="77777777" w:rsidR="00A100CC" w:rsidRPr="00A100CC" w:rsidRDefault="00A100CC" w:rsidP="00A100CC">
      <w:pPr>
        <w:widowControl/>
        <w:shd w:val="clear" w:color="auto" w:fill="FFFFFF"/>
        <w:spacing w:line="240" w:lineRule="auto"/>
        <w:ind w:firstLine="639"/>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第四十五条</w:t>
      </w:r>
      <w:r w:rsidRPr="00A100CC">
        <w:rPr>
          <w:rFonts w:ascii="Calibri" w:eastAsia="仿宋" w:hAnsi="Calibri" w:cs="Calibri"/>
          <w:b/>
          <w:color w:val="000000"/>
          <w:kern w:val="0"/>
          <w:sz w:val="32"/>
          <w:szCs w:val="32"/>
        </w:rPr>
        <w:t>  </w:t>
      </w:r>
      <w:r w:rsidRPr="00A100CC">
        <w:rPr>
          <w:rFonts w:ascii="仿宋" w:eastAsia="仿宋" w:hAnsi="仿宋" w:cs="宋体" w:hint="eastAsia"/>
          <w:bCs w:val="0"/>
          <w:color w:val="000000"/>
          <w:kern w:val="0"/>
          <w:sz w:val="32"/>
          <w:szCs w:val="32"/>
        </w:rPr>
        <w:t>相关部门及其工作人员在对安全生产责任保险的监督管理中收取贿赂、滥用职权、玩忽职守、徇私</w:t>
      </w:r>
      <w:r w:rsidRPr="00A100CC">
        <w:rPr>
          <w:rFonts w:ascii="仿宋" w:eastAsia="仿宋" w:hAnsi="仿宋" w:cs="宋体" w:hint="eastAsia"/>
          <w:bCs w:val="0"/>
          <w:color w:val="000000"/>
          <w:kern w:val="0"/>
          <w:sz w:val="32"/>
          <w:szCs w:val="32"/>
        </w:rPr>
        <w:lastRenderedPageBreak/>
        <w:t>舞弊的，依法依规对相关责任人严肃追责；涉嫌犯罪的，移送司法机关依法处理。</w:t>
      </w:r>
    </w:p>
    <w:p w14:paraId="7C45F156"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22486069"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000000"/>
          <w:kern w:val="0"/>
          <w:sz w:val="32"/>
          <w:szCs w:val="32"/>
        </w:rPr>
        <w:t>第七章</w:t>
      </w:r>
      <w:r w:rsidRPr="00A100CC">
        <w:rPr>
          <w:rFonts w:ascii="Calibri" w:eastAsia="黑体" w:hAnsi="Calibri" w:cs="Calibri"/>
          <w:b/>
          <w:color w:val="000000"/>
          <w:kern w:val="0"/>
          <w:sz w:val="32"/>
          <w:szCs w:val="32"/>
        </w:rPr>
        <w:t>  </w:t>
      </w:r>
      <w:r w:rsidRPr="00A100CC">
        <w:rPr>
          <w:rFonts w:ascii="黑体" w:eastAsia="黑体" w:hAnsi="黑体" w:cs="宋体" w:hint="eastAsia"/>
          <w:b/>
          <w:color w:val="000000"/>
          <w:kern w:val="0"/>
          <w:sz w:val="32"/>
          <w:szCs w:val="32"/>
        </w:rPr>
        <w:t>附则</w:t>
      </w:r>
    </w:p>
    <w:p w14:paraId="4DA772D6" w14:textId="77777777" w:rsidR="00A100CC" w:rsidRPr="00A100CC" w:rsidRDefault="00A100CC" w:rsidP="00A100CC">
      <w:pPr>
        <w:widowControl/>
        <w:shd w:val="clear" w:color="auto" w:fill="FFFFFF"/>
        <w:spacing w:line="240" w:lineRule="auto"/>
        <w:contextualSpacing w:val="0"/>
        <w:jc w:val="center"/>
        <w:rPr>
          <w:rFonts w:ascii="微软雅黑" w:eastAsia="微软雅黑" w:hAnsi="微软雅黑" w:cs="宋体" w:hint="eastAsia"/>
          <w:bCs w:val="0"/>
          <w:color w:val="666666"/>
          <w:kern w:val="0"/>
          <w:sz w:val="18"/>
          <w:szCs w:val="18"/>
        </w:rPr>
      </w:pPr>
      <w:r w:rsidRPr="00A100CC">
        <w:rPr>
          <w:rFonts w:ascii="黑体" w:eastAsia="黑体" w:hAnsi="黑体" w:cs="宋体" w:hint="eastAsia"/>
          <w:b/>
          <w:color w:val="666666"/>
          <w:kern w:val="0"/>
          <w:sz w:val="32"/>
          <w:szCs w:val="32"/>
        </w:rPr>
        <w:br/>
      </w:r>
    </w:p>
    <w:p w14:paraId="2BED5BA7" w14:textId="77777777" w:rsidR="00A100CC" w:rsidRPr="00A100CC" w:rsidRDefault="00A100CC" w:rsidP="00A100CC">
      <w:pPr>
        <w:widowControl/>
        <w:shd w:val="clear" w:color="auto" w:fill="FFFFFF"/>
        <w:spacing w:line="240" w:lineRule="auto"/>
        <w:ind w:firstLine="63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第四十六条</w:t>
      </w:r>
      <w:r w:rsidRPr="00A100CC">
        <w:rPr>
          <w:rFonts w:ascii="Calibri" w:eastAsia="仿宋" w:hAnsi="Calibri" w:cs="Calibri"/>
          <w:bCs w:val="0"/>
          <w:color w:val="000000"/>
          <w:kern w:val="0"/>
          <w:sz w:val="32"/>
          <w:szCs w:val="32"/>
        </w:rPr>
        <w:t> </w:t>
      </w:r>
      <w:r w:rsidRPr="00A100CC">
        <w:rPr>
          <w:rFonts w:ascii="仿宋" w:eastAsia="仿宋" w:hAnsi="仿宋" w:cs="宋体" w:hint="eastAsia"/>
          <w:bCs w:val="0"/>
          <w:color w:val="000000"/>
          <w:kern w:val="0"/>
          <w:sz w:val="32"/>
          <w:szCs w:val="32"/>
        </w:rPr>
        <w:t>本实施细则由省安全生产监督管理部门、省保险监督管理部门及负有安全监管职责的其他有关部门共同实施。</w:t>
      </w:r>
    </w:p>
    <w:p w14:paraId="4BE1DC53" w14:textId="77777777" w:rsidR="00A100CC" w:rsidRPr="00A100CC" w:rsidRDefault="00A100CC" w:rsidP="00A100CC">
      <w:pPr>
        <w:widowControl/>
        <w:shd w:val="clear" w:color="auto" w:fill="FFFFFF"/>
        <w:spacing w:line="240" w:lineRule="auto"/>
        <w:ind w:firstLine="630"/>
        <w:contextualSpacing w:val="0"/>
        <w:rPr>
          <w:rFonts w:ascii="微软雅黑" w:eastAsia="微软雅黑" w:hAnsi="微软雅黑" w:cs="宋体" w:hint="eastAsia"/>
          <w:bCs w:val="0"/>
          <w:color w:val="666666"/>
          <w:kern w:val="0"/>
          <w:sz w:val="18"/>
          <w:szCs w:val="18"/>
        </w:rPr>
      </w:pPr>
      <w:r w:rsidRPr="00A100CC">
        <w:rPr>
          <w:rFonts w:ascii="仿宋" w:eastAsia="仿宋" w:hAnsi="仿宋" w:cs="宋体" w:hint="eastAsia"/>
          <w:b/>
          <w:color w:val="000000"/>
          <w:kern w:val="0"/>
          <w:sz w:val="32"/>
          <w:szCs w:val="32"/>
        </w:rPr>
        <w:t>第四十七条</w:t>
      </w:r>
      <w:r w:rsidRPr="00A100CC">
        <w:rPr>
          <w:rFonts w:ascii="仿宋" w:eastAsia="仿宋" w:hAnsi="仿宋" w:cs="宋体" w:hint="eastAsia"/>
          <w:bCs w:val="0"/>
          <w:color w:val="000000"/>
          <w:kern w:val="0"/>
          <w:sz w:val="32"/>
          <w:szCs w:val="32"/>
        </w:rPr>
        <w:t>本实施细则自公布之日起实施。</w:t>
      </w:r>
    </w:p>
    <w:p w14:paraId="3E39C52A" w14:textId="77777777" w:rsidR="00ED5829" w:rsidRPr="00A100CC" w:rsidRDefault="008A4A46">
      <w:pPr>
        <w:ind w:firstLine="560"/>
      </w:pPr>
    </w:p>
    <w:sectPr w:rsidR="00ED5829" w:rsidRPr="00A100CC" w:rsidSect="00D73B8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方正小标宋简体">
    <w:altName w:val="黑体"/>
    <w:panose1 w:val="020B0604020202020204"/>
    <w:charset w:val="86"/>
    <w:family w:val="auto"/>
    <w:pitch w:val="default"/>
    <w:sig w:usb0="00002A87" w:usb1="080E0000" w:usb2="00000010" w:usb3="00000000" w:csb0="000401FF" w:csb1="00000000"/>
  </w:font>
  <w:font w:name="仿宋_GB2312">
    <w:altName w:val="仿宋"/>
    <w:panose1 w:val="020B0604020202020204"/>
    <w:charset w:val="86"/>
    <w:family w:val="modern"/>
    <w:pitch w:val="default"/>
    <w:sig w:usb0="00002A87" w:usb1="080E0000" w:usb2="00000010" w:usb3="00000000" w:csb0="0004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586"/>
    <w:multiLevelType w:val="hybridMultilevel"/>
    <w:tmpl w:val="E7D6A190"/>
    <w:lvl w:ilvl="0" w:tplc="5CBE5BEE">
      <w:start w:val="1"/>
      <w:numFmt w:val="chineseCountingThousand"/>
      <w:pStyle w:val="140315"/>
      <w:suff w:val="nothing"/>
      <w:lvlText w:val="%1、"/>
      <w:lvlJc w:val="left"/>
      <w:pPr>
        <w:ind w:left="198" w:firstLine="3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811703"/>
    <w:multiLevelType w:val="multilevel"/>
    <w:tmpl w:val="18BADAF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212B2987"/>
    <w:multiLevelType w:val="multilevel"/>
    <w:tmpl w:val="DD021C9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080FF7"/>
    <w:multiLevelType w:val="multilevel"/>
    <w:tmpl w:val="D966D27A"/>
    <w:lvl w:ilvl="0">
      <w:start w:val="1"/>
      <w:numFmt w:val="chineseCountingThousand"/>
      <w:pStyle w:val="1"/>
      <w:suff w:val="nothing"/>
      <w:lvlText w:val="第%1章 "/>
      <w:lvlJc w:val="left"/>
      <w:pPr>
        <w:ind w:left="442" w:firstLine="0"/>
      </w:pPr>
      <w:rPr>
        <w:rFonts w:hint="eastAsia"/>
      </w:rPr>
    </w:lvl>
    <w:lvl w:ilvl="1">
      <w:start w:val="1"/>
      <w:numFmt w:val="decimal"/>
      <w:isLgl/>
      <w:suff w:val="nothing"/>
      <w:lvlText w:val="%2 "/>
      <w:lvlJc w:val="left"/>
      <w:pPr>
        <w:ind w:left="442" w:firstLine="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pStyle w:val="3"/>
      <w:suff w:val="nothing"/>
      <w:lvlText w:val="%2.%3 "/>
      <w:lvlJc w:val="left"/>
      <w:pPr>
        <w:ind w:left="442" w:firstLine="0"/>
      </w:pPr>
      <w:rPr>
        <w:rFonts w:hint="eastAsia"/>
      </w:rPr>
    </w:lvl>
    <w:lvl w:ilvl="3">
      <w:start w:val="1"/>
      <w:numFmt w:val="none"/>
      <w:pStyle w:val="4"/>
      <w:suff w:val="nothing"/>
      <w:lvlText w:val="%3"/>
      <w:lvlJc w:val="left"/>
      <w:pPr>
        <w:ind w:left="442" w:firstLine="0"/>
      </w:pPr>
      <w:rPr>
        <w:rFonts w:hint="eastAsia"/>
      </w:rPr>
    </w:lvl>
    <w:lvl w:ilvl="4">
      <w:start w:val="1"/>
      <w:numFmt w:val="none"/>
      <w:suff w:val="nothing"/>
      <w:lvlText w:val=""/>
      <w:lvlJc w:val="left"/>
      <w:pPr>
        <w:ind w:left="442" w:firstLine="0"/>
      </w:pPr>
      <w:rPr>
        <w:rFonts w:hint="eastAsia"/>
      </w:rPr>
    </w:lvl>
    <w:lvl w:ilvl="5">
      <w:start w:val="1"/>
      <w:numFmt w:val="none"/>
      <w:suff w:val="nothing"/>
      <w:lvlText w:val=""/>
      <w:lvlJc w:val="left"/>
      <w:pPr>
        <w:ind w:left="442" w:firstLine="0"/>
      </w:pPr>
      <w:rPr>
        <w:rFonts w:hint="eastAsia"/>
      </w:rPr>
    </w:lvl>
    <w:lvl w:ilvl="6">
      <w:start w:val="1"/>
      <w:numFmt w:val="none"/>
      <w:suff w:val="nothing"/>
      <w:lvlText w:val=""/>
      <w:lvlJc w:val="left"/>
      <w:pPr>
        <w:ind w:left="442" w:firstLine="0"/>
      </w:pPr>
      <w:rPr>
        <w:rFonts w:hint="eastAsia"/>
      </w:rPr>
    </w:lvl>
    <w:lvl w:ilvl="7">
      <w:start w:val="1"/>
      <w:numFmt w:val="none"/>
      <w:suff w:val="nothing"/>
      <w:lvlText w:val=""/>
      <w:lvlJc w:val="left"/>
      <w:pPr>
        <w:ind w:left="442" w:firstLine="0"/>
      </w:pPr>
      <w:rPr>
        <w:rFonts w:hint="eastAsia"/>
      </w:rPr>
    </w:lvl>
    <w:lvl w:ilvl="8">
      <w:start w:val="1"/>
      <w:numFmt w:val="none"/>
      <w:suff w:val="nothing"/>
      <w:lvlText w:val=""/>
      <w:lvlJc w:val="left"/>
      <w:pPr>
        <w:ind w:left="442" w:firstLine="0"/>
      </w:pPr>
      <w:rPr>
        <w:rFonts w:hint="eastAsia"/>
      </w:rPr>
    </w:lvl>
  </w:abstractNum>
  <w:abstractNum w:abstractNumId="4" w15:restartNumberingAfterBreak="0">
    <w:nsid w:val="54D233DA"/>
    <w:multiLevelType w:val="multilevel"/>
    <w:tmpl w:val="7734640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2.%1.%3."/>
      <w:lvlJc w:val="left"/>
      <w:pPr>
        <w:ind w:left="709" w:hanging="709"/>
      </w:pPr>
      <w:rPr>
        <w:rFonts w:hint="eastAsia"/>
      </w:rPr>
    </w:lvl>
    <w:lvl w:ilvl="3">
      <w:start w:val="1"/>
      <w:numFmt w:val="decimal"/>
      <w:lvlText w:val="%3.%1.%2.%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5E5D50F3"/>
    <w:multiLevelType w:val="multilevel"/>
    <w:tmpl w:val="88C6BD8C"/>
    <w:lvl w:ilvl="0">
      <w:start w:val="1"/>
      <w:numFmt w:val="decimal"/>
      <w:lvlText w:val="%1."/>
      <w:lvlJc w:val="left"/>
      <w:pPr>
        <w:ind w:left="867" w:hanging="425"/>
      </w:pPr>
      <w:rPr>
        <w:rFonts w:hint="eastAsia"/>
      </w:rPr>
    </w:lvl>
    <w:lvl w:ilvl="1">
      <w:start w:val="1"/>
      <w:numFmt w:val="decimal"/>
      <w:lvlText w:val="%2."/>
      <w:lvlJc w:val="left"/>
      <w:pPr>
        <w:ind w:left="1009" w:hanging="567"/>
      </w:pPr>
      <w:rPr>
        <w:rFonts w:hint="eastAsia"/>
      </w:rPr>
    </w:lvl>
    <w:lvl w:ilvl="2">
      <w:start w:val="1"/>
      <w:numFmt w:val="decimal"/>
      <w:lvlText w:val=".%1..%3%2"/>
      <w:lvlJc w:val="left"/>
      <w:pPr>
        <w:ind w:left="1151" w:hanging="709"/>
      </w:pPr>
      <w:rPr>
        <w:rFonts w:hint="eastAsia"/>
      </w:rPr>
    </w:lvl>
    <w:lvl w:ilvl="3">
      <w:start w:val="1"/>
      <w:numFmt w:val="decimal"/>
      <w:lvlText w:val="%1.%2.%3.%4."/>
      <w:lvlJc w:val="left"/>
      <w:pPr>
        <w:ind w:left="1293" w:hanging="851"/>
      </w:pPr>
      <w:rPr>
        <w:rFonts w:hint="eastAsia"/>
      </w:rPr>
    </w:lvl>
    <w:lvl w:ilvl="4">
      <w:start w:val="1"/>
      <w:numFmt w:val="decimal"/>
      <w:lvlText w:val="%1.%2.%3.%4.%5."/>
      <w:lvlJc w:val="left"/>
      <w:pPr>
        <w:ind w:left="1434" w:hanging="992"/>
      </w:pPr>
      <w:rPr>
        <w:rFonts w:hint="eastAsia"/>
      </w:rPr>
    </w:lvl>
    <w:lvl w:ilvl="5">
      <w:start w:val="1"/>
      <w:numFmt w:val="decimal"/>
      <w:lvlText w:val="%1.%2.%3.%4.%5.%6."/>
      <w:lvlJc w:val="left"/>
      <w:pPr>
        <w:ind w:left="1576" w:hanging="1134"/>
      </w:pPr>
      <w:rPr>
        <w:rFonts w:hint="eastAsia"/>
      </w:rPr>
    </w:lvl>
    <w:lvl w:ilvl="6">
      <w:start w:val="1"/>
      <w:numFmt w:val="decimal"/>
      <w:lvlText w:val="%1.%2.%3.%4.%5.%6.%7."/>
      <w:lvlJc w:val="left"/>
      <w:pPr>
        <w:ind w:left="1718" w:hanging="1276"/>
      </w:pPr>
      <w:rPr>
        <w:rFonts w:hint="eastAsia"/>
      </w:rPr>
    </w:lvl>
    <w:lvl w:ilvl="7">
      <w:start w:val="1"/>
      <w:numFmt w:val="decimal"/>
      <w:lvlText w:val="%1.%2.%3.%4.%5.%6.%7.%8."/>
      <w:lvlJc w:val="left"/>
      <w:pPr>
        <w:ind w:left="1860" w:hanging="1418"/>
      </w:pPr>
      <w:rPr>
        <w:rFonts w:hint="eastAsia"/>
      </w:rPr>
    </w:lvl>
    <w:lvl w:ilvl="8">
      <w:start w:val="1"/>
      <w:numFmt w:val="decimal"/>
      <w:lvlText w:val="%1.%2.%3.%4.%5.%6.%7.%8.%9."/>
      <w:lvlJc w:val="left"/>
      <w:pPr>
        <w:ind w:left="2001" w:hanging="1559"/>
      </w:pPr>
      <w:rPr>
        <w:rFonts w:hint="eastAsia"/>
      </w:rPr>
    </w:lvl>
  </w:abstractNum>
  <w:abstractNum w:abstractNumId="6" w15:restartNumberingAfterBreak="0">
    <w:nsid w:val="6E9520FC"/>
    <w:multiLevelType w:val="multilevel"/>
    <w:tmpl w:val="1C7627B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1"/>
  </w:num>
  <w:num w:numId="4">
    <w:abstractNumId w:val="1"/>
  </w:num>
  <w:num w:numId="5">
    <w:abstractNumId w:val="4"/>
  </w:num>
  <w:num w:numId="6">
    <w:abstractNumId w:val="4"/>
  </w:num>
  <w:num w:numId="7">
    <w:abstractNumId w:val="4"/>
  </w:num>
  <w:num w:numId="8">
    <w:abstractNumId w:val="2"/>
  </w:num>
  <w:num w:numId="9">
    <w:abstractNumId w:val="2"/>
  </w:num>
  <w:num w:numId="10">
    <w:abstractNumId w:val="3"/>
  </w:num>
  <w:num w:numId="11">
    <w:abstractNumId w:val="5"/>
  </w:num>
  <w:num w:numId="12">
    <w:abstractNumId w:val="5"/>
  </w:num>
  <w:num w:numId="13">
    <w:abstractNumId w:val="3"/>
  </w:num>
  <w:num w:numId="14">
    <w:abstractNumId w:val="5"/>
  </w:num>
  <w:num w:numId="15">
    <w:abstractNumId w:val="3"/>
  </w:num>
  <w:num w:numId="16">
    <w:abstractNumId w:val="5"/>
  </w:num>
  <w:num w:numId="17">
    <w:abstractNumId w:val="3"/>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CC"/>
    <w:rsid w:val="003826A6"/>
    <w:rsid w:val="008A4A46"/>
    <w:rsid w:val="00A100CC"/>
    <w:rsid w:val="00A76B4E"/>
    <w:rsid w:val="00BE272F"/>
    <w:rsid w:val="00D73B84"/>
    <w:rsid w:val="00FD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643B"/>
  <w15:chartTrackingRefBased/>
  <w15:docId w15:val="{784F4A30-FE17-434E-BB29-3B53E69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826A6"/>
    <w:pPr>
      <w:widowControl w:val="0"/>
      <w:spacing w:line="360" w:lineRule="auto"/>
      <w:contextualSpacing/>
    </w:pPr>
    <w:rPr>
      <w:rFonts w:eastAsia="FangSong"/>
      <w:bCs/>
      <w:szCs w:val="21"/>
    </w:rPr>
  </w:style>
  <w:style w:type="paragraph" w:styleId="1">
    <w:name w:val="heading 1"/>
    <w:basedOn w:val="a"/>
    <w:link w:val="10"/>
    <w:autoRedefine/>
    <w:uiPriority w:val="9"/>
    <w:qFormat/>
    <w:rsid w:val="00A76B4E"/>
    <w:pPr>
      <w:keepNext/>
      <w:keepLines/>
      <w:numPr>
        <w:numId w:val="13"/>
      </w:numPr>
      <w:spacing w:before="340" w:after="330" w:line="578" w:lineRule="auto"/>
      <w:outlineLvl w:val="0"/>
    </w:pPr>
    <w:rPr>
      <w:b/>
      <w:bCs w:val="0"/>
      <w:color w:val="000000"/>
      <w:kern w:val="44"/>
      <w:sz w:val="30"/>
      <w:szCs w:val="28"/>
    </w:rPr>
  </w:style>
  <w:style w:type="paragraph" w:styleId="2">
    <w:name w:val="heading 2"/>
    <w:basedOn w:val="a"/>
    <w:next w:val="a"/>
    <w:link w:val="20"/>
    <w:autoRedefine/>
    <w:uiPriority w:val="9"/>
    <w:unhideWhenUsed/>
    <w:qFormat/>
    <w:rsid w:val="00A76B4E"/>
    <w:pPr>
      <w:keepNext/>
      <w:keepLines/>
      <w:numPr>
        <w:ilvl w:val="1"/>
        <w:numId w:val="18"/>
      </w:numPr>
      <w:spacing w:before="260" w:after="260" w:line="416" w:lineRule="auto"/>
      <w:ind w:left="1009" w:hanging="567"/>
      <w:outlineLvl w:val="1"/>
    </w:pPr>
    <w:rPr>
      <w:rFonts w:asciiTheme="majorHAnsi" w:eastAsia="Songti SC" w:hAnsiTheme="majorHAnsi" w:cstheme="majorBidi"/>
      <w:b/>
      <w:bCs w:val="0"/>
      <w:szCs w:val="32"/>
    </w:rPr>
  </w:style>
  <w:style w:type="paragraph" w:styleId="3">
    <w:name w:val="heading 3"/>
    <w:basedOn w:val="a"/>
    <w:next w:val="a"/>
    <w:link w:val="30"/>
    <w:autoRedefine/>
    <w:uiPriority w:val="9"/>
    <w:unhideWhenUsed/>
    <w:qFormat/>
    <w:rsid w:val="00A76B4E"/>
    <w:pPr>
      <w:keepNext/>
      <w:keepLines/>
      <w:numPr>
        <w:ilvl w:val="2"/>
        <w:numId w:val="17"/>
      </w:numPr>
      <w:spacing w:before="260" w:after="260" w:line="416" w:lineRule="auto"/>
      <w:outlineLvl w:val="2"/>
    </w:pPr>
    <w:rPr>
      <w:rFonts w:eastAsia="Songti SC"/>
      <w:b/>
      <w:bCs w:val="0"/>
      <w:sz w:val="32"/>
      <w:szCs w:val="32"/>
    </w:rPr>
  </w:style>
  <w:style w:type="paragraph" w:styleId="4">
    <w:name w:val="heading 4"/>
    <w:basedOn w:val="a"/>
    <w:next w:val="a"/>
    <w:link w:val="40"/>
    <w:autoRedefine/>
    <w:uiPriority w:val="9"/>
    <w:unhideWhenUsed/>
    <w:qFormat/>
    <w:rsid w:val="00A76B4E"/>
    <w:pPr>
      <w:keepNext/>
      <w:keepLines/>
      <w:numPr>
        <w:ilvl w:val="3"/>
        <w:numId w:val="17"/>
      </w:numPr>
      <w:spacing w:before="280" w:after="290" w:line="376" w:lineRule="auto"/>
      <w:outlineLvl w:val="3"/>
    </w:pPr>
    <w:rPr>
      <w:rFonts w:asciiTheme="majorHAnsi" w:eastAsiaTheme="majorEastAsia" w:hAnsiTheme="majorHAnsi" w:cstheme="majorBidi"/>
      <w:b/>
      <w:bC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B4E"/>
    <w:rPr>
      <w:rFonts w:eastAsia="FangSong"/>
      <w:b/>
      <w:bCs/>
      <w:color w:val="000000"/>
      <w:kern w:val="44"/>
      <w:sz w:val="30"/>
      <w:szCs w:val="28"/>
    </w:rPr>
  </w:style>
  <w:style w:type="character" w:customStyle="1" w:styleId="20">
    <w:name w:val="标题 2 字符"/>
    <w:basedOn w:val="a0"/>
    <w:link w:val="2"/>
    <w:uiPriority w:val="9"/>
    <w:rsid w:val="00A76B4E"/>
    <w:rPr>
      <w:rFonts w:asciiTheme="majorHAnsi" w:eastAsia="Songti SC" w:hAnsiTheme="majorHAnsi" w:cstheme="majorBidi"/>
      <w:b/>
      <w:bCs/>
      <w:sz w:val="28"/>
      <w:szCs w:val="32"/>
    </w:rPr>
  </w:style>
  <w:style w:type="paragraph" w:styleId="a3">
    <w:name w:val="Title"/>
    <w:basedOn w:val="a"/>
    <w:next w:val="a"/>
    <w:link w:val="a4"/>
    <w:autoRedefine/>
    <w:uiPriority w:val="10"/>
    <w:qFormat/>
    <w:rsid w:val="00D73B84"/>
    <w:pPr>
      <w:spacing w:before="240" w:after="60"/>
      <w:ind w:left="425" w:hanging="425"/>
      <w:jc w:val="center"/>
      <w:outlineLvl w:val="0"/>
    </w:pPr>
    <w:rPr>
      <w:rFonts w:asciiTheme="majorHAnsi" w:eastAsia="Songti SC" w:hAnsiTheme="majorHAnsi" w:cstheme="majorBidi"/>
      <w:bCs w:val="0"/>
      <w:sz w:val="32"/>
      <w:szCs w:val="32"/>
    </w:rPr>
  </w:style>
  <w:style w:type="character" w:customStyle="1" w:styleId="a4">
    <w:name w:val="标题 字符"/>
    <w:basedOn w:val="a0"/>
    <w:link w:val="a3"/>
    <w:uiPriority w:val="10"/>
    <w:rsid w:val="00D73B84"/>
    <w:rPr>
      <w:rFonts w:asciiTheme="majorHAnsi" w:eastAsia="Songti SC" w:hAnsiTheme="majorHAnsi" w:cstheme="majorBidi"/>
      <w:bCs/>
      <w:sz w:val="32"/>
      <w:szCs w:val="32"/>
    </w:rPr>
  </w:style>
  <w:style w:type="character" w:customStyle="1" w:styleId="40">
    <w:name w:val="标题 4 字符"/>
    <w:basedOn w:val="a0"/>
    <w:link w:val="4"/>
    <w:uiPriority w:val="9"/>
    <w:rsid w:val="00FD6556"/>
    <w:rPr>
      <w:rFonts w:asciiTheme="majorHAnsi" w:eastAsiaTheme="majorEastAsia" w:hAnsiTheme="majorHAnsi" w:cstheme="majorBidi"/>
      <w:b/>
      <w:bCs/>
      <w:sz w:val="28"/>
      <w:szCs w:val="28"/>
    </w:rPr>
  </w:style>
  <w:style w:type="character" w:customStyle="1" w:styleId="30">
    <w:name w:val="标题 3 字符"/>
    <w:basedOn w:val="a0"/>
    <w:link w:val="3"/>
    <w:uiPriority w:val="9"/>
    <w:rsid w:val="00FD6556"/>
    <w:rPr>
      <w:rFonts w:eastAsia="Songti SC"/>
      <w:b/>
      <w:bCs/>
      <w:sz w:val="32"/>
      <w:szCs w:val="32"/>
    </w:rPr>
  </w:style>
  <w:style w:type="paragraph" w:styleId="a5">
    <w:name w:val="Subtitle"/>
    <w:aliases w:val="题目"/>
    <w:basedOn w:val="a"/>
    <w:next w:val="a"/>
    <w:link w:val="a6"/>
    <w:autoRedefine/>
    <w:uiPriority w:val="11"/>
    <w:qFormat/>
    <w:rsid w:val="00FD6556"/>
    <w:pPr>
      <w:spacing w:before="240" w:after="60" w:line="312" w:lineRule="auto"/>
      <w:jc w:val="center"/>
      <w:outlineLvl w:val="1"/>
    </w:pPr>
    <w:rPr>
      <w:rFonts w:ascii="黑体" w:eastAsia="黑体" w:hAnsi="黑体"/>
      <w:bCs w:val="0"/>
      <w:kern w:val="28"/>
      <w:sz w:val="44"/>
      <w:szCs w:val="32"/>
    </w:rPr>
  </w:style>
  <w:style w:type="character" w:customStyle="1" w:styleId="a6">
    <w:name w:val="副标题 字符"/>
    <w:aliases w:val="题目 字符"/>
    <w:basedOn w:val="a0"/>
    <w:link w:val="a5"/>
    <w:uiPriority w:val="11"/>
    <w:rsid w:val="00FD6556"/>
    <w:rPr>
      <w:rFonts w:ascii="黑体" w:eastAsia="黑体" w:hAnsi="黑体"/>
      <w:bCs/>
      <w:kern w:val="28"/>
      <w:sz w:val="44"/>
      <w:szCs w:val="32"/>
    </w:rPr>
  </w:style>
  <w:style w:type="paragraph" w:customStyle="1" w:styleId="140315">
    <w:name w:val="样式 标题 1 + 宋体 小四 悬挂缩进: 4.03 字符 行距: 1.5 倍行距"/>
    <w:autoRedefine/>
    <w:qFormat/>
    <w:rsid w:val="00BE272F"/>
    <w:pPr>
      <w:keepNext/>
      <w:keepLines/>
      <w:widowControl w:val="0"/>
      <w:numPr>
        <w:numId w:val="19"/>
      </w:numPr>
      <w:tabs>
        <w:tab w:val="left" w:pos="420"/>
      </w:tabs>
      <w:spacing w:before="280" w:after="290" w:line="360" w:lineRule="auto"/>
      <w:jc w:val="both"/>
      <w:outlineLvl w:val="0"/>
    </w:pPr>
    <w:rPr>
      <w:rFonts w:ascii="宋体" w:eastAsia="FangSong" w:hAnsi="宋体" w:cs="宋体"/>
      <w:bCs/>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斌</dc:creator>
  <cp:keywords/>
  <dc:description/>
  <cp:lastModifiedBy>陆 斌</cp:lastModifiedBy>
  <cp:revision>2</cp:revision>
  <dcterms:created xsi:type="dcterms:W3CDTF">2021-09-22T08:19:00Z</dcterms:created>
  <dcterms:modified xsi:type="dcterms:W3CDTF">2021-09-22T08:25:00Z</dcterms:modified>
</cp:coreProperties>
</file>