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after="300" w:afterAutospacing="0" w:line="240" w:lineRule="auto"/>
        <w:ind w:left="0" w:firstLine="0"/>
        <w:jc w:val="center"/>
        <w:textAlignment w:val="auto"/>
        <w:rPr>
          <w:rFonts w:hint="eastAsia" w:ascii="宋体" w:hAnsi="宋体" w:eastAsia="宋体" w:cs="宋体"/>
          <w:i w:val="0"/>
          <w:caps w:val="0"/>
          <w:color w:val="333333"/>
          <w:spacing w:val="0"/>
          <w:sz w:val="44"/>
          <w:szCs w:val="44"/>
        </w:rPr>
      </w:pPr>
      <w:r>
        <w:rPr>
          <w:rFonts w:hint="eastAsia" w:ascii="宋体" w:hAnsi="宋体" w:eastAsia="宋体" w:cs="宋体"/>
          <w:b/>
          <w:i w:val="0"/>
          <w:caps w:val="0"/>
          <w:color w:val="333333"/>
          <w:spacing w:val="0"/>
          <w:kern w:val="0"/>
          <w:sz w:val="44"/>
          <w:szCs w:val="44"/>
          <w:shd w:val="clear" w:fill="FFFFFF"/>
          <w:lang w:val="en-US" w:eastAsia="zh-CN" w:bidi="ar"/>
        </w:rPr>
        <w:t>中共中央国务院关于推进安全生产领域改革发展的意见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center"/>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（2016年12月9日）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安全生产是关系人民群众生命财产安全的大事，是经济社会协调健康发展的标志，是党和政府对人民利益高度负责的要求。党中央、国务院历来高度重视安全生产工作，党的十八大以来作出一系列重大决策部署，推动全国安全生产工作取得积极进展。同时也要看到，当前我国正处在工业化、城镇化持续推进过程中，生产经营规模不断扩大，传统和新型生产经营方式并存，各类事故隐患和安全风险交织叠加，安全生产基础薄弱、监管体制机制和法律制度不完善、企业主体责任落实不力等问题依然突出，生产安全事故易发多发，尤其是重特大安全事故频发势头尚未得到有效遏制，一些事故发生呈现由高危行业领域向其他行业领域蔓延趋势，直接危及生产安全和公共安全。为进一步加强安全生产工作，现就推进安全生产领域改革发展提出如下意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一、总体要求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（一）指导思想。全面贯彻党的十八大和十八届三中、四中、五中、六中全会精神，以</w:t>
      </w:r>
      <w:r>
        <w:rPr>
          <w:rFonts w:hint="eastAsia" w:ascii="仿宋" w:hAnsi="仿宋" w:eastAsia="仿宋" w:cs="仿宋"/>
          <w:b w:val="0"/>
          <w:bCs w:val="0"/>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b w:val="0"/>
          <w:bCs w:val="0"/>
          <w:i w:val="0"/>
          <w:caps w:val="0"/>
          <w:color w:val="auto"/>
          <w:spacing w:val="0"/>
          <w:kern w:val="0"/>
          <w:sz w:val="32"/>
          <w:szCs w:val="32"/>
          <w:u w:val="none"/>
          <w:shd w:val="clear" w:fill="FFFFFF"/>
          <w:lang w:val="en-US" w:eastAsia="zh-CN" w:bidi="ar"/>
        </w:rPr>
        <w:instrText xml:space="preserve"> HYPERLINK "https://baike.baidu.com/item/%E9%82%93%E5%B0%8F%E5%B9%B3%E7%90%86%E8%AE%BA" \t "https://baike.baidu.com/item/%E4%B8%AD%E5%85%B1%E4%B8%AD%E5%A4%AE%E5%9B%BD%E5%8A%A1%E9%99%A2%E5%85%B3%E4%BA%8E%E6%8E%A8%E8%BF%9B%E5%AE%89%E5%85%A8%E7%94%9F%E4%BA%A7%E9%A2%86%E5%9F%9F%E6%94%B9%E9%9D%A9%E5%8F%91%E5%B1%95%E7%9A%84%E6%84%8F%E8%A7%81/_blank" </w:instrText>
      </w:r>
      <w:r>
        <w:rPr>
          <w:rFonts w:hint="eastAsia" w:ascii="仿宋" w:hAnsi="仿宋" w:eastAsia="仿宋" w:cs="仿宋"/>
          <w:b w:val="0"/>
          <w:bCs w:val="0"/>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b w:val="0"/>
          <w:bCs w:val="0"/>
          <w:i w:val="0"/>
          <w:caps w:val="0"/>
          <w:color w:val="auto"/>
          <w:spacing w:val="0"/>
          <w:sz w:val="32"/>
          <w:szCs w:val="32"/>
          <w:u w:val="none"/>
          <w:shd w:val="clear" w:fill="FFFFFF"/>
        </w:rPr>
        <w:t>邓小平理论</w:t>
      </w:r>
      <w:r>
        <w:rPr>
          <w:rFonts w:hint="eastAsia" w:ascii="仿宋" w:hAnsi="仿宋" w:eastAsia="仿宋" w:cs="仿宋"/>
          <w:b w:val="0"/>
          <w:bCs w:val="0"/>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b w:val="0"/>
          <w:bCs w:val="0"/>
          <w:i w:val="0"/>
          <w:caps w:val="0"/>
          <w:color w:val="auto"/>
          <w:spacing w:val="0"/>
          <w:kern w:val="0"/>
          <w:sz w:val="32"/>
          <w:szCs w:val="32"/>
          <w:shd w:val="clear" w:fill="FFFFFF"/>
          <w:lang w:val="en-US" w:eastAsia="zh-CN" w:bidi="ar"/>
        </w:rPr>
        <w:t>、“</w:t>
      </w:r>
      <w:r>
        <w:rPr>
          <w:rFonts w:hint="eastAsia" w:ascii="仿宋" w:hAnsi="仿宋" w:eastAsia="仿宋" w:cs="仿宋"/>
          <w:b w:val="0"/>
          <w:bCs w:val="0"/>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b w:val="0"/>
          <w:bCs w:val="0"/>
          <w:i w:val="0"/>
          <w:caps w:val="0"/>
          <w:color w:val="auto"/>
          <w:spacing w:val="0"/>
          <w:kern w:val="0"/>
          <w:sz w:val="32"/>
          <w:szCs w:val="32"/>
          <w:u w:val="none"/>
          <w:shd w:val="clear" w:fill="FFFFFF"/>
          <w:lang w:val="en-US" w:eastAsia="zh-CN" w:bidi="ar"/>
        </w:rPr>
        <w:instrText xml:space="preserve"> HYPERLINK "https://baike.baidu.com/item/%E4%B8%89%E4%B8%AA%E4%BB%A3%E8%A1%A8" \t "https://baike.baidu.com/item/%E4%B8%AD%E5%85%B1%E4%B8%AD%E5%A4%AE%E5%9B%BD%E5%8A%A1%E9%99%A2%E5%85%B3%E4%BA%8E%E6%8E%A8%E8%BF%9B%E5%AE%89%E5%85%A8%E7%94%9F%E4%BA%A7%E9%A2%86%E5%9F%9F%E6%94%B9%E9%9D%A9%E5%8F%91%E5%B1%95%E7%9A%84%E6%84%8F%E8%A7%81/_blank" </w:instrText>
      </w:r>
      <w:r>
        <w:rPr>
          <w:rFonts w:hint="eastAsia" w:ascii="仿宋" w:hAnsi="仿宋" w:eastAsia="仿宋" w:cs="仿宋"/>
          <w:b w:val="0"/>
          <w:bCs w:val="0"/>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b w:val="0"/>
          <w:bCs w:val="0"/>
          <w:i w:val="0"/>
          <w:caps w:val="0"/>
          <w:color w:val="auto"/>
          <w:spacing w:val="0"/>
          <w:sz w:val="32"/>
          <w:szCs w:val="32"/>
          <w:u w:val="none"/>
          <w:shd w:val="clear" w:fill="FFFFFF"/>
        </w:rPr>
        <w:t>三个代表</w:t>
      </w:r>
      <w:r>
        <w:rPr>
          <w:rFonts w:hint="eastAsia" w:ascii="仿宋" w:hAnsi="仿宋" w:eastAsia="仿宋" w:cs="仿宋"/>
          <w:b w:val="0"/>
          <w:bCs w:val="0"/>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b w:val="0"/>
          <w:bCs w:val="0"/>
          <w:i w:val="0"/>
          <w:caps w:val="0"/>
          <w:color w:val="auto"/>
          <w:spacing w:val="0"/>
          <w:kern w:val="0"/>
          <w:sz w:val="32"/>
          <w:szCs w:val="32"/>
          <w:shd w:val="clear" w:fill="FFFFFF"/>
          <w:lang w:val="en-US" w:eastAsia="zh-CN" w:bidi="ar"/>
        </w:rPr>
        <w:t>”重要思想、科学发展观为指导，深入贯彻</w:t>
      </w:r>
      <w:r>
        <w:rPr>
          <w:rFonts w:hint="eastAsia" w:ascii="仿宋" w:hAnsi="仿宋" w:eastAsia="仿宋" w:cs="仿宋"/>
          <w:b w:val="0"/>
          <w:bCs w:val="0"/>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b w:val="0"/>
          <w:bCs w:val="0"/>
          <w:i w:val="0"/>
          <w:caps w:val="0"/>
          <w:color w:val="auto"/>
          <w:spacing w:val="0"/>
          <w:kern w:val="0"/>
          <w:sz w:val="32"/>
          <w:szCs w:val="32"/>
          <w:u w:val="none"/>
          <w:shd w:val="clear" w:fill="FFFFFF"/>
          <w:lang w:val="en-US" w:eastAsia="zh-CN" w:bidi="ar"/>
        </w:rPr>
        <w:instrText xml:space="preserve"> HYPERLINK "https://baike.baidu.com/item/%E4%B9%A0%E8%BF%91%E5%B9%B3" \t "https://baike.baidu.com/item/%E4%B8%AD%E5%85%B1%E4%B8%AD%E5%A4%AE%E5%9B%BD%E5%8A%A1%E9%99%A2%E5%85%B3%E4%BA%8E%E6%8E%A8%E8%BF%9B%E5%AE%89%E5%85%A8%E7%94%9F%E4%BA%A7%E9%A2%86%E5%9F%9F%E6%94%B9%E9%9D%A9%E5%8F%91%E5%B1%95%E7%9A%84%E6%84%8F%E8%A7%81/_blank" </w:instrText>
      </w:r>
      <w:r>
        <w:rPr>
          <w:rFonts w:hint="eastAsia" w:ascii="仿宋" w:hAnsi="仿宋" w:eastAsia="仿宋" w:cs="仿宋"/>
          <w:b w:val="0"/>
          <w:bCs w:val="0"/>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b w:val="0"/>
          <w:bCs w:val="0"/>
          <w:i w:val="0"/>
          <w:caps w:val="0"/>
          <w:color w:val="auto"/>
          <w:spacing w:val="0"/>
          <w:sz w:val="32"/>
          <w:szCs w:val="32"/>
          <w:u w:val="none"/>
          <w:shd w:val="clear" w:fill="FFFFFF"/>
        </w:rPr>
        <w:t>习近平</w:t>
      </w:r>
      <w:r>
        <w:rPr>
          <w:rFonts w:hint="eastAsia" w:ascii="仿宋" w:hAnsi="仿宋" w:eastAsia="仿宋" w:cs="仿宋"/>
          <w:b w:val="0"/>
          <w:bCs w:val="0"/>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b w:val="0"/>
          <w:bCs w:val="0"/>
          <w:i w:val="0"/>
          <w:caps w:val="0"/>
          <w:color w:val="auto"/>
          <w:spacing w:val="0"/>
          <w:kern w:val="0"/>
          <w:sz w:val="32"/>
          <w:szCs w:val="32"/>
          <w:shd w:val="clear" w:fill="FFFFFF"/>
          <w:lang w:val="en-US" w:eastAsia="zh-CN" w:bidi="ar"/>
        </w:rPr>
        <w:t>总书记系列重要讲话精神和治国理政新理念新思想新战略，进一步增强“四个意识”，紧紧围绕统筹推进“五位一体”总体布局和协调推进“</w:t>
      </w:r>
      <w:r>
        <w:rPr>
          <w:rFonts w:hint="eastAsia" w:ascii="仿宋" w:hAnsi="仿宋" w:eastAsia="仿宋" w:cs="仿宋"/>
          <w:b w:val="0"/>
          <w:bCs w:val="0"/>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b w:val="0"/>
          <w:bCs w:val="0"/>
          <w:i w:val="0"/>
          <w:caps w:val="0"/>
          <w:color w:val="auto"/>
          <w:spacing w:val="0"/>
          <w:kern w:val="0"/>
          <w:sz w:val="32"/>
          <w:szCs w:val="32"/>
          <w:u w:val="none"/>
          <w:shd w:val="clear" w:fill="FFFFFF"/>
          <w:lang w:val="en-US" w:eastAsia="zh-CN" w:bidi="ar"/>
        </w:rPr>
        <w:instrText xml:space="preserve"> HYPERLINK "https://baike.baidu.com/item/%E5%9B%9B%E4%B8%AA%E5%85%A8%E9%9D%A2/16391989" \t "https://baike.baidu.com/item/%E4%B8%AD%E5%85%B1%E4%B8%AD%E5%A4%AE%E5%9B%BD%E5%8A%A1%E9%99%A2%E5%85%B3%E4%BA%8E%E6%8E%A8%E8%BF%9B%E5%AE%89%E5%85%A8%E7%94%9F%E4%BA%A7%E9%A2%86%E5%9F%9F%E6%94%B9%E9%9D%A9%E5%8F%91%E5%B1%95%E7%9A%84%E6%84%8F%E8%A7%81/_blank" </w:instrText>
      </w:r>
      <w:r>
        <w:rPr>
          <w:rFonts w:hint="eastAsia" w:ascii="仿宋" w:hAnsi="仿宋" w:eastAsia="仿宋" w:cs="仿宋"/>
          <w:b w:val="0"/>
          <w:bCs w:val="0"/>
          <w:i w:val="0"/>
          <w:caps w:val="0"/>
          <w:color w:val="auto"/>
          <w:spacing w:val="0"/>
          <w:kern w:val="0"/>
          <w:sz w:val="32"/>
          <w:szCs w:val="32"/>
          <w:u w:val="none"/>
          <w:shd w:val="clear" w:fill="FFFFFF"/>
          <w:lang w:val="en-US" w:eastAsia="zh-CN" w:bidi="ar"/>
        </w:rPr>
        <w:fldChar w:fldCharType="separate"/>
      </w:r>
      <w:r>
        <w:rPr>
          <w:rStyle w:val="4"/>
          <w:rFonts w:hint="eastAsia" w:ascii="仿宋" w:hAnsi="仿宋" w:eastAsia="仿宋" w:cs="仿宋"/>
          <w:b w:val="0"/>
          <w:bCs w:val="0"/>
          <w:i w:val="0"/>
          <w:caps w:val="0"/>
          <w:color w:val="auto"/>
          <w:spacing w:val="0"/>
          <w:sz w:val="32"/>
          <w:szCs w:val="32"/>
          <w:u w:val="none"/>
          <w:shd w:val="clear" w:fill="FFFFFF"/>
        </w:rPr>
        <w:t>四个全面</w:t>
      </w:r>
      <w:r>
        <w:rPr>
          <w:rFonts w:hint="eastAsia" w:ascii="仿宋" w:hAnsi="仿宋" w:eastAsia="仿宋" w:cs="仿宋"/>
          <w:b w:val="0"/>
          <w:bCs w:val="0"/>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b w:val="0"/>
          <w:bCs w:val="0"/>
          <w:i w:val="0"/>
          <w:caps w:val="0"/>
          <w:color w:val="auto"/>
          <w:spacing w:val="0"/>
          <w:kern w:val="0"/>
          <w:sz w:val="32"/>
          <w:szCs w:val="32"/>
          <w:shd w:val="clear" w:fill="FFFFFF"/>
          <w:lang w:val="en-US" w:eastAsia="zh-CN" w:bidi="ar"/>
        </w:rPr>
        <w:t>”战略布局，牢固树立新发展理</w:t>
      </w:r>
      <w:r>
        <w:rPr>
          <w:rFonts w:hint="eastAsia" w:ascii="仿宋" w:hAnsi="仿宋" w:eastAsia="仿宋" w:cs="仿宋"/>
          <w:b w:val="0"/>
          <w:bCs w:val="0"/>
          <w:i w:val="0"/>
          <w:caps w:val="0"/>
          <w:color w:val="333333"/>
          <w:spacing w:val="0"/>
          <w:kern w:val="0"/>
          <w:sz w:val="32"/>
          <w:szCs w:val="32"/>
          <w:shd w:val="clear" w:fill="FFFFFF"/>
          <w:lang w:val="en-US" w:eastAsia="zh-CN" w:bidi="ar"/>
        </w:rPr>
        <w:t>念，坚持安全发展，坚守发展决不能以牺牲安全为代价这条不可逾越的红线，以防范遏制重特大生产安全事故为重点，坚持安全第一、预防为主、综合治理的方针，加强领导、改革创新，协调联动、齐抓共管，着力强化企业安全生产主体责任，着力堵塞监督管理漏洞，着力解决不遵守法律法规的问题，依靠严密的责任体系、严格的法治措施、有效的体制机制、有力的基础保障和完善的系统治理，切实增强安全防范治理能力，大力提升我国安全生产整体水平，确保人民群众安康幸福、共享改革发展和社会文明进步成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（二）基本原则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——坚持安全发展。贯彻以人民为中心的发展思想，始终把人的生命安全放在首位，正确处理安全与发展的关系，大力实施安全发展战略，为经济社会发展提供强有力的安全保障。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——坚持改革创新。不断推进安全生产理论创新、制度创新、体制机制创新、科技创新和文化创新，增强企业内生动力，激发全社会创新活力，破解安全生产难题，推动安全生产与经济社会协调发展。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坚持依法监管。大力弘扬社会主义法治精神，运用法治思维和法治方式，深化安全生产监管执法体制改革，完善安全生产法律法规和标准体系，严格规范公正文明执法，增强监管执法效能，提高安全生产法治化水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坚持源头防范。严格安全生产市场准入，经济社会发展要以安全为前提，把安全生产贯穿城乡规划布局、设计、建设、管理和企业生产经营活动全过程。构建风险分级管控和隐患排查治理双重预防工作机制，严防风险演变、隐患升级导致生产安全事故发生。</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坚持系统治理。严密层级治理和行业治理、政府治理、社会治理相结合的安全生产治理体系，组织动员各方面力量实施社会共治。综合运用法律、行政、经济、市场等手段，落实人防、技防、物防措施，提升全社会安全生产治理能力。</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目标任务。到2020年，安全生产监管体制机制基本成熟，法律制度基本完善，全国生产安全事故总量明显减少，职业病危害防治取得积极进展，重特大生产安全事故频发势头得到有效遏制，安全生产整体水平与全面建成小康社会目标相适应。到2030年，实现安全生产治理体系和治理能力现代化，全民安全文明素质全面提升，安全生产保障能力显著增强，为实现中华民族伟大复兴的中国梦奠定稳固可靠的安全生产基础。</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二、健全落实安全生产责任制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四）明确地方党委和政府领导责任。坚持党政同责、一岗双责、齐抓共管、失职追责，完善安全生产责任体系。地方各级党委和政府要始终把安全生产摆在重要位置，加强组织领导。党政主要负责人是本地区安全生产第一责任人，班子其他成员对分管范围内的安全生产工作负领导责任。地方各级安全生产委员会主任由政府主要负责人担任，成员由同级党委和政府及相关部门负责人组成。</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地方各级党委要认真贯彻执行党的安全生产方针，在统揽本地区经济社会发展全局中同步推进安全生产工作，定期研究决定安全生产重大问题。加强安全生产监管机构领导班子、干部队伍建设。严格安全生产履职绩效考核和失职责任追究。强化安全生产宣传教育和舆论引导。发挥人大对安全生产工作的监督促进作用、政协对安全生产工作的民主监督作用。推动组织、宣传、政法、机构编制等单位支持保障安全生产工作。动员社会各界积极参与、支持、监督安全生产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地方各级政府要把安全生产纳入经济社会发展总体规划，制定实施安全生产专项规划，健全安全投入保障制度。及时研究部署安全生产工作，严格落实属地监管责任。充分发挥安全生产委员会作用，实施安全生产责任目标管理。建立安全生产巡查制度，督促各部门和下级政府履职尽责。加强安全生产监管执法能力建设，推进安全科技创新，提升信息化管理水平。严格安全准入标准，指导管控安全风险，督促整治重大隐患，强化源头治理。加强应急管理，完善安全生产应急救援体系。依法依规开展事故调查处理，督促落实问题整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五）明确部门监管责任。按照管行业必须管安全、管业务必须管安全、管生产经营必须管安全和谁主管谁负责的原则，理清安全生产综合监管与行业监管的关系，明确各有关部门安全生产和职业健康工作职责，并落实到部门工作职责规定中。安全生产监督管理部门负责安全生产法规标准和政策规划制定修订、执法监督、事故调查处理、应急救援管理、统计分析、宣传教育培训等综合性工作，承担职责范围内行业领域安全生产和职业健康监管执法职责。负有安全生产监督管理职责的有关部门依法依规履行相关行业领域安全生产和职业健康监管职责，强化监管执法，严厉查处违法违规行为。其他行业领域主管部门负有安全生产管理责任，要将安全生产工作作为行业领域管理的重要内容，从行业规划、产业政策、法规标准、行政许可等方面加强行业安全生产工作，指导督促企事业单位加强安全管理。党委和政府其他有关部门要在职责范围内为安全生产工作提供支持保障，共同推进安全发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六）严格落实企业主体责任。企业对本单位安全生产和职业健康工作负全面责任，要严格履行安全生产法定责任，建立健全自我约束、持续改进的内生机制。企业实行全员安全生产责任制度，法定代表人和实际控制人同为安全生产第一责任人，主要技术负责人负有安全生产技术决策和指挥权，强化部门安全生产职责，落实一岗双责。完善落实混合所有制企业以及跨地区、多层级和境外中资企业投资主体的安全生产责任。建立企业全过程安全生产和职业健康管理制度，做到安全责任、管理、投入、培训和应急救援“五到位”。国有企业要发挥安全生产工作示范带头作用，自觉接受属地监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七）健全责任考核机制。建立与全面建成小康社会相适应和体现安全发展水平的考核评价体系。完善考核制度，统筹整合、科学设定安全生产考核指标，加大安全生产在社会治安综合治理、精神文明建设等考核中的权重。各级政府要对同级安全生产委员会成员单位和下级政府实施严格的安全生产工作责任考核，实行过程考核与结果考核相结合。各地区各单位要建立安全生产绩效与履职评定、职务晋升、奖励惩处挂钩制度，严格落实安全生产“一票否决”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八）严格责任追究制度。实行党政领导干部任期安全生产责任制，日常工作依责尽职、发生事故依责追究。依法依规制定各有关部门安全生产权力和责任清单，尽职照单免责、失职照单问责。建立企业生产经营全过程安全责任追溯制度。严肃查处安全生产领域项目审批、行政许可、监管执法中的失职渎职和权钱交易等腐败行为。严格事故直报制度，对瞒报、谎报、漏报、迟报事故的单位和个人依法依规追责。对被追究刑事责任的生产经营者依法实施相应的职业禁入，对事故发生负有重大责任的社会服务机构和人员依法严肃追究法律责任，并依法实施相应的行业禁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三、改革安全监管监察体制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九）完善监督管理体制。加强各级安全生产委员会组织领导，充分发挥其统筹协调作用，切实解决突出矛盾和问题。各级安全生产监督管理部门承担本级安全生产委员会日常工作，负责指导协调、监督检查、巡查考核本级政府有关部门和下级政府安全生产工作，履行综合监管职责。负有安全生产监督管理职责的部门，依照有关法律法规和部门职责，健全安全生产监管体制，严格落实监管职责。相关部门按照各自职责建立完善安全生产工作机制，形成齐抓共管格局。坚持管安全生产必须管职业健康，建立安全生产和职业健康一体化监管执法体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十）改革重点行业领域安全监管监察体制。依托国家煤矿安全监察体制，加强非煤矿山安全生产监管监察，优化安全监察机构布局，将国家煤矿安全监察机构负责的安全生产行政许可事项移交给地方政府承担。着重加强危险化学品安全监管体制改革和力量建设，明确和落实危险化学品建设项目立项、规划、设计、施工及生产、储存、使用、销售、运输、废弃处置等环节的法定安全监管责任，建立有力的协调联动机制，消除监管空白。完善海洋石油安全生产监督管理体制机制，实行政企分开。理顺民航、铁路、电力等行业跨区域监管体制，明确行业监管、区域监管与地方监管职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十一）进一步完善地方监管执法体制。地方各级党委和政府要将安全生产监督管理部门作为政府工作部门和行政执法机构，加强安全生产执法队伍建设，强化行政执法职能。统筹加强安全监管力量，重点充实市、县两级安全生产监管执法人员，强化乡镇（街道）安全生产监管力量建设。完善各类开发区、工业园区、港区、风景区等功能区安全生产监管体制，明确负责安全生产监督管理的机构，以及港区安全生产地方监管和部门监管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十二）健全应急救援管理体制。按照政事分开原则，推进安全生产应急救援管理体制改革，强化行政管理职能，提高组织协调能力和现场救援时效。健全省、市、县三级安全生产应急救援管理工作机制，建设联动互通的应急救援指挥平台。依托公安消防、大型企业、工业园区等应急救援力量，加强矿山和危险化学品等应急救援基地和队伍建设，实行区域化应急救援资源共享。</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四、大力推进依法治理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十三）健全法律法规体系。建立健全安全生产法律法规立改废释工作协调机制。加强涉及安全生产相关法规一致性审查，增强安全生产法制建设的系统性、可操作性。制定安全生产中长期立法规划，加快制定修订安全生产法配套法规。加强安全生产和职业健康法律法规衔接融合。研究修改刑法有关条款，将生产经营过程中极易导致重大生产安全事故的违法行为列入刑法调整范围。制定完善高危行业领域安全规程。设区的市根据立法法的立法精神，加强安全生产地方性法规建设，解决区域性安全生产突出问题。</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十四）完善标准体系。加快安全生产标准制定修订和整合，建立以强制性国家标准为主体的安全生产标准体系。鼓励依法成立的社会团体和企业制定更加严格规范的安全生产标准，结合国情积极借鉴实施国际先进标准。国务院安全生产监督管理部门负责生产经营单位职业危害预防治理国家标准制定发布工作；统筹提出安全生产强制性国家标准立项计划，有关部门按照职责分工组织起草、审查、实施和监督执行，国务院标准化行政主管部门负责及时立项、编号、对外通报、批准并发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十五）严格安全准入制度。严格高危行业领域安全准入条件。按照强化监管与便民服务相结合原则，科学设置安全生产行政许可事项和办理程序，优化工作流程，简化办事环节，实施网上公开办理，接受社会监督。对与人民群众生命财产安全直接相关的行政许可事项，依法严格管理。对取消、下放、移交的行政许可事项，要加强事中事后安全监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十六）规范监管执法行为。完善安全生产监管执法制度，明确每个生产经营单位安全生产监督和管理主体，制定实施执法计划，完善执法程序规定，依法严格查处各类违法违规行为。建立行政执法和刑事司法衔接制度，负有安全生产监督管理职责的部门要加强与公安、检察院、法院等协调配合，完善安全生产违法线索通报、案件移送与协查机制。对违法行为当事人拒不执行安全生产行政执法决定的，负有安全生产监督管理职责的部门应依法申请司法机关强制执行。完善司法机关参与事故调查机制，严肃查处违法犯罪行为。研究建立安全生产民事和行政公益诉讼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十七）完善执法监督机制。各级人大常委会要定期检查安全生产法律法规实施情况，开展专题询问。各级政协要围绕安全生产突出问题开展民主监督和协商调研。建立执法行为审议制度和重大行政执法决策机制，评估执法效果，防止滥用职权。健全领导干部非法干预安全生产监管执法的记录、通报和责任追究制度。完善安全生产执法纠错和执法信息公开制度，加强社会监督和舆论监督，保证执法严明、有错必纠。</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十八）健全监管执法保障体系。制定安全生产监管监察能力建设规划，明确监管执法装备及现场执法和应急救援用车配备标准，加强监管执法技术支撑体系建设，保障监管执法需要。建立完善负有安全生产监督管理职责的部门监管执法经费保障机制，将监管执法经费纳入同级财政全额保障范围。加强监管执法制度化、标准化、信息化建设，确保规范高效监管执法。建立安全生产监管执法人员依法履行法定职责制度，激励保证监管执法人员忠于职守、履职尽责。严格监管执法人员资格管理，制定安全生产监管执法人员录用标准，提高专业监管执法人员比例。建立健全安全生产监管执法人员凡进必考、入职培训、持证上岗和定期轮训制度。统一安全生产执法标志标识和制式服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kern w:val="0"/>
          <w:sz w:val="32"/>
          <w:szCs w:val="32"/>
          <w:shd w:val="clear" w:fill="FFFFFF"/>
          <w:lang w:val="en-US" w:eastAsia="zh-CN" w:bidi="ar"/>
        </w:rPr>
      </w:pPr>
      <w:r>
        <w:rPr>
          <w:rFonts w:hint="eastAsia" w:ascii="仿宋" w:hAnsi="仿宋" w:eastAsia="仿宋" w:cs="仿宋"/>
          <w:b w:val="0"/>
          <w:bCs w:val="0"/>
          <w:i w:val="0"/>
          <w:caps w:val="0"/>
          <w:color w:val="333333"/>
          <w:spacing w:val="0"/>
          <w:kern w:val="0"/>
          <w:sz w:val="32"/>
          <w:szCs w:val="32"/>
          <w:shd w:val="clear" w:fill="FFFFFF"/>
          <w:lang w:val="en-US" w:eastAsia="zh-CN" w:bidi="ar"/>
        </w:rPr>
        <w:t>（十九）完善事故调查处理机制。坚持问责与整改并重，充分发挥事故查处对加强和改进安全生产工作的促进作用。完善生产安全事故调查组组长负责制。健全典型事故提级调查、跨地区协同调查和工作督导机制。建立事故调查分析技术支撑体系，所有事故调查报告要设立技术和管理问题专篇，详细分析原因并全文发布，做好解读，回应公众关切。对事故调查发现有漏洞、缺陷的有关法律法规和标准制度，及时启动制定修订工作。建立事故暴露问题整改督办制度，事故结案后一年内，负责事故调查的地方政府和国务院有关部门要组织开展评估，及时向社会公开，对履职不力、整改措施不落实的，依法依规严肃追究有关单位和人员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五、建立安全预防控制体系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十）加强安全风险管控。地方各级政府要建立完善安全风险评估与论证机制，科学合理确定企业选址和基础设施建设、居民生活区空间布局。高危项目审批必须把安全生产作为前置条件，城乡规划布局、设计、建设、管理等各项工作必须以安全为前提，实行重大安全风险“一票否决”。加强新材料、新工艺、新业态安全风险评估和管控。紧密结合供给侧结构性改革，推动高危产业转型升级。位置相邻、行业相近、业态相似的地区和行业要建立完善重大安全风险联防联控机制。构建国家、省、市、县四级重大危险源信息管理体系，对重点行业、重点区域、重点企业实行风险预警控制，有效防范重特大生产安全事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十一）强化企业预防措施。企业要定期开展风险评估和危害辨识。针对高危工艺、设备、物品、场所和岗位，建立分级管控制度，制定落实安全操作规程。树立隐患就是事故的观念，建立健全隐患排查治理制度、重大隐患治理情况向负有安全生产监督管理职责的部门和企业职代会“双报告”制度，实行自查自改自报闭环管理。严格执行安全生产和职业健康“三同时”制度。大力推进企业安全生产标准化建设，实现安全管理、操作行为、设备设施和作业环境的标准化。开展经常性的应急演练和人员避险自救培训，着力提升现场应急处置能力。</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十二）建立隐患治理监督机制。制定生产安全事故隐患分级和排查治理标准。负有安全生产监督管理职责的部门要建立与企业隐患排查治理系统联网的信息平台，完善线上线下配套监管制度。强化隐患排查治理监督执法，对重大隐患整改不到位的企业依法采取停产停业、停止施工、停止供电和查封扣押等强制措施，按规定给予上限经济处罚，对构成犯罪的要移交司法机关依法追究刑事责任。严格重大隐患挂牌督办制度，对整改和督办不力的纳入政府核查问责范围，实行约谈告诫、公开曝光，情节严重的依法依规追究相关人员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十三）强化城市运行安全保障。定期排查区域内安全风险点、危险源，落实管控措施，构建系统性、现代化的城市安全保障体系，推进安全发展示范城市建设。提高基础设施安全配置标准，重点加强对城市高层建筑、大型综合体、隧道桥梁、管线管廊、轨道交通、燃气、电力设施及电梯、游乐设施等的检测维护。完善大型群众性活动安全管理制度，加强人员密集场所安全监管。加强公安、民政、国土资源、住房城乡建设、交通运输、水利、农业、安全监管、气象、地震等相关部门的协调联动，严防自然灾害引发事故。</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十四）加强重点领域工程治理。深入推进对煤矿瓦斯、水害等重大灾害以及矿山采空区、尾矿库的工程治理。加快实施人口密集区域的危险化学品和化工企业生产、仓储场所安全搬迁工程。深化油气开采、输送、炼化、码头接卸等领域安全整治。实施高速公路、乡村公路和急弯陡坡、临水临崖危险路段公路安全生命防护工程建设。加强高速铁路、跨海大桥、海底隧道、铁路浮桥、航运枢纽、港口等防灾监测、安全检测及防护系统建设。完善长途客运车辆、旅游客车、危险物品运输车辆和船舶生产制造标准，提高安全性能，强制安装智能视频监控报警、防碰撞和整车整船安全运行监管技术装备，对已运行的要加快安全技术装备改造升级。</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十五）建立完善职业病防治体系。将职业病防治纳入各级政府民生工程及安全生产工作考核体系，制定职业病防治中长期规划，实施职业健康促进计划。加快职业病危害严重企业技术改造、转型升级和淘汰退出，加强高危粉尘、高毒物品等职业病危害源头治理。健全职业健康监管支撑保障体系，加强职业健康技术服务机构、职业病诊断鉴定机构和职业健康体检机构建设，强化职业病危害基础研究、预防控制、诊断鉴定、综合治疗能力。完善相关规定，扩大职业病患者救治范围，将职业病失能人员纳入社会保障范围，对符合条件的职业病患者落实医疗与生活救助措施。加强企业职业健康监管执法，督促落实职业病危害告知、日常监测、定期报告、防护保障和职业健康体检等制度措施，落实职业病防治主体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六、加强安全基础保障能力建设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十六）完善安全投入长效机制。加强中央和地方财政安全生产预防及应急相关资金使用管理，加大安全生产与职业健康投入，强化审计监督。加强安全生产经济政策研究，完善安全生产专用设备企业所得税优惠目录。落实企业安全生产费用提取管理使用制度，建立企业增加安全投入的激励约束机制。健全投融资服务体系，引导企业集聚发展灾害防治、预测预警、检测监控、个体防护、应急处置、安全文化等技术、装备和服务产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十七）建立安全科技支撑体系。优化整合国家科技计划，统筹支持安全生产和职业健康领域科研项目，加强研发基地和博士后科研工作站建设。开展事故预防理论研究和关键技术装备研发，加快成果转化和推广应用。推动工业机器人、智能装备在危险工序和环节广泛应用。提升现代信息技术与安全生产融合度，统一标准规范，加快安全生产信息化建设，构建安全生产与职业健康信息化全国“一张网”。加强安全生产理论和政策研究，运用大数据技术开展安全生产规律性、关联性特征分析，提高安全生产决策科学化水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十八）健全社会化服务体系。将安全生产专业技术服务纳入现代服务业发展规划，培育多元化服务主体。建立政府购买安全生产服务制度。支持发展安全生产专业化行业组织，强化自治自律。完善注册安全工程师制度。改革完善安全生产和职业健康技术服务机构资质管理办法。支持相关机构开展安全生产和职业健康一体化评价等技术服务，严格实施评价公开制度，进一步激活和规范专业技术服务市场。鼓励中小微企业订单式、协作式购买运用安全生产管理和技术服务。建立安全生产和职业健康技术服务机构公示制度和由第三方实施的信用评定制度，严肃查处租借资质、违法挂靠、弄虚作假、垄断收费等各类违法违规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二十九）发挥市场机制推动作用。取消安全生产风险抵押金制度，建立健全安全生产责任保险制度，在矿山、危险化学品、烟花爆竹、交通运输、建筑施工、民用爆炸物品、金属冶炼、渔业生产等高危行业领域强制实施，切实发挥保险机构参与风险评估管控和事故预防功能。完善工伤保险制度，加快制定工伤预防费用的提取比例、使用和管理具体办法。积极推进安全生产诚信体系建设，完善企业安全生产不良记录“黑名单”制度，建立失信惩戒和守信激励机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三十）健全安全宣传教育体系。将安全生产监督管理纳入各级党政领导干部培训内容。把安全知识普及纳入国民教育，建立完善中小学安全教育和高危行业职业安全教育体系。把安全生产纳入农民工技能培训内容。严格落实企业安全教育培训制度，切实做到先培训、后上岗。推进安全文化建设，加强警示教育，强化全民安全意识和法治意识。发挥工会、共青团、妇联等群团组织作用，依法维护职工群众的知情权、参与权与监督权。加强安全生产公益宣传和舆论监督。建立安全生产“12350”专线与社会公共管理平台统一接报、分类处置的举报投诉机制。鼓励开展安全生产志愿服务和慈善事业。加强安全生产国际交流合作，学习借鉴国外安全生产与职业健康先进经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640" w:firstLineChars="200"/>
        <w:jc w:val="left"/>
        <w:textAlignment w:val="auto"/>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i w:val="0"/>
          <w:caps w:val="0"/>
          <w:color w:val="333333"/>
          <w:spacing w:val="0"/>
          <w:kern w:val="0"/>
          <w:sz w:val="32"/>
          <w:szCs w:val="32"/>
          <w:shd w:val="clear" w:fill="FFFFFF"/>
          <w:lang w:val="en-US" w:eastAsia="zh-CN" w:bidi="ar"/>
        </w:rPr>
        <w:t>各地区各部门要加强组织领导，严格实行领导干部安全生产工作责任制，根据本意见提出的任务和要求，结合实际认真研究制定实施办法，抓紧出台推进安全生产领域改革发展的具体政策措施，明确责任分工和时间进度要求，确保各项改革举措和工作要求落实到位。贯彻落实情况要及时向党中央、国务院报告，同时抄送国务院安全生产委员会办公室。中央全面深化改革领导小组办公室将适时牵头组织开展专项监督检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87255"/>
    <w:rsid w:val="1372039A"/>
    <w:rsid w:val="39287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2021-08-20T03:41:00Z</dcterms:created>
  <dc:creator>Z-zeat</dc:creator>
  <cp:lastModifiedBy>Z-zeat</cp:lastModifiedBy>
  <dcterms:modified xsi:type="dcterms:W3CDTF">2021-08-23T06:23:21Z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